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5EE6" w:rsidRPr="00275EE6" w:rsidRDefault="0082767A" w:rsidP="0082767A">
      <w:pPr>
        <w:jc w:val="center"/>
        <w:rPr>
          <w:rFonts w:ascii="华文中宋" w:eastAsia="华文中宋" w:hAnsi="华文中宋"/>
          <w:b/>
          <w:sz w:val="44"/>
          <w:szCs w:val="44"/>
        </w:rPr>
      </w:pPr>
      <w:r w:rsidRPr="00275EE6">
        <w:rPr>
          <w:rFonts w:ascii="华文中宋" w:eastAsia="华文中宋" w:hAnsi="华文中宋" w:hint="eastAsia"/>
          <w:b/>
          <w:sz w:val="44"/>
          <w:szCs w:val="44"/>
        </w:rPr>
        <w:t>南关</w:t>
      </w:r>
      <w:r w:rsidRPr="00275EE6">
        <w:rPr>
          <w:rFonts w:ascii="华文中宋" w:eastAsia="华文中宋" w:hAnsi="华文中宋"/>
          <w:b/>
          <w:sz w:val="44"/>
          <w:szCs w:val="44"/>
        </w:rPr>
        <w:t>法院</w:t>
      </w:r>
      <w:r w:rsidRPr="00275EE6">
        <w:rPr>
          <w:rFonts w:ascii="华文中宋" w:eastAsia="华文中宋" w:hAnsi="华文中宋" w:hint="eastAsia"/>
          <w:b/>
          <w:sz w:val="44"/>
          <w:szCs w:val="44"/>
        </w:rPr>
        <w:t>2019年</w:t>
      </w:r>
    </w:p>
    <w:p w:rsidR="00F477ED" w:rsidRPr="00275EE6" w:rsidRDefault="0082767A" w:rsidP="0082767A">
      <w:pPr>
        <w:jc w:val="center"/>
        <w:rPr>
          <w:rFonts w:ascii="华文中宋" w:eastAsia="华文中宋" w:hAnsi="华文中宋"/>
          <w:b/>
          <w:sz w:val="44"/>
          <w:szCs w:val="44"/>
        </w:rPr>
      </w:pPr>
      <w:r w:rsidRPr="00275EE6">
        <w:rPr>
          <w:rFonts w:ascii="华文中宋" w:eastAsia="华文中宋" w:hAnsi="华文中宋" w:hint="eastAsia"/>
          <w:b/>
          <w:sz w:val="44"/>
          <w:szCs w:val="44"/>
        </w:rPr>
        <w:t>全面</w:t>
      </w:r>
      <w:r w:rsidRPr="00275EE6">
        <w:rPr>
          <w:rFonts w:ascii="华文中宋" w:eastAsia="华文中宋" w:hAnsi="华文中宋"/>
          <w:b/>
          <w:sz w:val="44"/>
          <w:szCs w:val="44"/>
        </w:rPr>
        <w:t>深化司法改革工作总结</w:t>
      </w:r>
    </w:p>
    <w:p w:rsidR="0082767A" w:rsidRDefault="0082767A" w:rsidP="0082767A">
      <w:pPr>
        <w:jc w:val="center"/>
        <w:rPr>
          <w:rFonts w:ascii="仿宋" w:eastAsia="仿宋" w:hAnsi="仿宋"/>
          <w:b/>
          <w:sz w:val="36"/>
          <w:szCs w:val="36"/>
        </w:rPr>
      </w:pPr>
    </w:p>
    <w:p w:rsidR="0082767A" w:rsidRDefault="0082767A" w:rsidP="0082767A">
      <w:pPr>
        <w:ind w:firstLineChars="200" w:firstLine="640"/>
        <w:jc w:val="left"/>
        <w:rPr>
          <w:rFonts w:ascii="仿宋" w:eastAsia="仿宋" w:hAnsi="仿宋"/>
          <w:sz w:val="32"/>
          <w:szCs w:val="32"/>
        </w:rPr>
      </w:pPr>
      <w:r>
        <w:rPr>
          <w:rFonts w:ascii="仿宋" w:eastAsia="仿宋" w:hAnsi="仿宋"/>
          <w:sz w:val="32"/>
          <w:szCs w:val="32"/>
        </w:rPr>
        <w:t>2019</w:t>
      </w:r>
      <w:r>
        <w:rPr>
          <w:rFonts w:ascii="仿宋" w:eastAsia="仿宋" w:hAnsi="仿宋" w:hint="eastAsia"/>
          <w:sz w:val="32"/>
          <w:szCs w:val="32"/>
        </w:rPr>
        <w:t>年</w:t>
      </w:r>
      <w:r>
        <w:rPr>
          <w:rFonts w:ascii="仿宋" w:eastAsia="仿宋" w:hAnsi="仿宋"/>
          <w:sz w:val="32"/>
          <w:szCs w:val="32"/>
        </w:rPr>
        <w:t>，南关</w:t>
      </w:r>
      <w:r w:rsidRPr="0082767A">
        <w:rPr>
          <w:rFonts w:ascii="仿宋" w:eastAsia="仿宋" w:hAnsi="仿宋"/>
          <w:sz w:val="32"/>
          <w:szCs w:val="32"/>
        </w:rPr>
        <w:t>法院认真贯彻中央关于推</w:t>
      </w:r>
      <w:r>
        <w:rPr>
          <w:rFonts w:ascii="仿宋" w:eastAsia="仿宋" w:hAnsi="仿宋"/>
          <w:sz w:val="32"/>
          <w:szCs w:val="32"/>
        </w:rPr>
        <w:t>进司法体制改革的决策，全面落实司法体制改革精神，按照上级法院和</w:t>
      </w:r>
      <w:r>
        <w:rPr>
          <w:rFonts w:ascii="仿宋" w:eastAsia="仿宋" w:hAnsi="仿宋" w:hint="eastAsia"/>
          <w:sz w:val="32"/>
          <w:szCs w:val="32"/>
        </w:rPr>
        <w:t>区</w:t>
      </w:r>
      <w:r>
        <w:rPr>
          <w:rFonts w:ascii="仿宋" w:eastAsia="仿宋" w:hAnsi="仿宋"/>
          <w:sz w:val="32"/>
          <w:szCs w:val="32"/>
        </w:rPr>
        <w:t>委、</w:t>
      </w:r>
      <w:r>
        <w:rPr>
          <w:rFonts w:ascii="仿宋" w:eastAsia="仿宋" w:hAnsi="仿宋" w:hint="eastAsia"/>
          <w:sz w:val="32"/>
          <w:szCs w:val="32"/>
        </w:rPr>
        <w:t>区</w:t>
      </w:r>
      <w:r w:rsidRPr="0082767A">
        <w:rPr>
          <w:rFonts w:ascii="仿宋" w:eastAsia="仿宋" w:hAnsi="仿宋"/>
          <w:sz w:val="32"/>
          <w:szCs w:val="32"/>
        </w:rPr>
        <w:t>政府的部署与要求，稳步推进各项改革工作，积极探索创新，司法审判体制改革工作取得了一定成效。</w:t>
      </w:r>
    </w:p>
    <w:p w:rsidR="007113AD" w:rsidRPr="007113AD" w:rsidRDefault="007113AD" w:rsidP="007113AD">
      <w:pPr>
        <w:ind w:firstLineChars="200" w:firstLine="641"/>
        <w:jc w:val="left"/>
        <w:rPr>
          <w:rFonts w:ascii="华文中宋" w:eastAsia="华文中宋" w:hAnsi="华文中宋"/>
          <w:b/>
          <w:sz w:val="32"/>
          <w:szCs w:val="32"/>
        </w:rPr>
      </w:pPr>
      <w:r>
        <w:rPr>
          <w:rFonts w:ascii="华文中宋" w:eastAsia="华文中宋" w:hAnsi="华文中宋" w:hint="eastAsia"/>
          <w:b/>
          <w:sz w:val="32"/>
          <w:szCs w:val="32"/>
        </w:rPr>
        <w:t>一</w:t>
      </w:r>
      <w:r>
        <w:rPr>
          <w:rFonts w:ascii="华文中宋" w:eastAsia="华文中宋" w:hAnsi="华文中宋"/>
          <w:b/>
          <w:sz w:val="32"/>
          <w:szCs w:val="32"/>
        </w:rPr>
        <w:t>、</w:t>
      </w:r>
      <w:r w:rsidRPr="007113AD">
        <w:rPr>
          <w:rFonts w:ascii="华文中宋" w:eastAsia="华文中宋" w:hAnsi="华文中宋"/>
          <w:b/>
          <w:sz w:val="32"/>
          <w:szCs w:val="32"/>
        </w:rPr>
        <w:t>强化组织领导</w:t>
      </w:r>
    </w:p>
    <w:p w:rsidR="007113AD" w:rsidRPr="007113AD" w:rsidRDefault="007113AD" w:rsidP="007113AD">
      <w:pPr>
        <w:ind w:firstLineChars="200" w:firstLine="640"/>
        <w:rPr>
          <w:rFonts w:ascii="仿宋" w:eastAsia="仿宋" w:hAnsi="仿宋" w:cs="仿宋"/>
          <w:sz w:val="32"/>
          <w:szCs w:val="32"/>
        </w:rPr>
      </w:pPr>
      <w:r>
        <w:rPr>
          <w:rFonts w:ascii="仿宋" w:eastAsia="仿宋" w:hAnsi="仿宋" w:cs="仿宋" w:hint="eastAsia"/>
          <w:sz w:val="32"/>
          <w:szCs w:val="32"/>
        </w:rPr>
        <w:t>为切实推进司法体制改革向纵深开展，南关法院按照上级</w:t>
      </w:r>
      <w:r>
        <w:rPr>
          <w:rFonts w:ascii="仿宋" w:eastAsia="仿宋" w:hAnsi="仿宋" w:cs="仿宋"/>
          <w:sz w:val="32"/>
          <w:szCs w:val="32"/>
        </w:rPr>
        <w:t>法院及区委</w:t>
      </w:r>
      <w:r w:rsidRPr="007113AD">
        <w:rPr>
          <w:rFonts w:ascii="仿宋" w:eastAsia="仿宋" w:hAnsi="仿宋" w:cs="仿宋" w:hint="eastAsia"/>
          <w:sz w:val="32"/>
          <w:szCs w:val="32"/>
        </w:rPr>
        <w:t>决策部署，结合自身实际，抓住重点任务和关键环节，推动改革落实落地。</w:t>
      </w:r>
    </w:p>
    <w:p w:rsidR="007113AD" w:rsidRPr="007113AD" w:rsidRDefault="007113AD" w:rsidP="007113AD">
      <w:pPr>
        <w:rPr>
          <w:rFonts w:ascii="仿宋" w:eastAsia="仿宋" w:hAnsi="仿宋" w:cs="仿宋"/>
          <w:sz w:val="32"/>
          <w:szCs w:val="32"/>
        </w:rPr>
      </w:pPr>
      <w:r w:rsidRPr="007113AD">
        <w:rPr>
          <w:rFonts w:ascii="仿宋" w:eastAsia="仿宋" w:hAnsi="仿宋" w:cs="仿宋" w:hint="eastAsia"/>
          <w:sz w:val="32"/>
          <w:szCs w:val="32"/>
        </w:rPr>
        <w:t xml:space="preserve">    召开党组会，研究制定了《长春市南关区人民法院内设机构改革方案》，并学习全省法院司改工作调度会会议精神，层级传达落实，让干警充分领会上级精神和司改目标任务，积极投入到司法改革当中，确保按时按质按量完成改革任务。</w:t>
      </w:r>
    </w:p>
    <w:p w:rsidR="007113AD" w:rsidRPr="007113AD" w:rsidRDefault="007113AD" w:rsidP="007113AD">
      <w:pPr>
        <w:ind w:firstLineChars="200" w:firstLine="640"/>
        <w:jc w:val="left"/>
        <w:rPr>
          <w:rFonts w:ascii="仿宋" w:eastAsia="仿宋" w:hAnsi="仿宋"/>
          <w:sz w:val="32"/>
          <w:szCs w:val="32"/>
        </w:rPr>
      </w:pPr>
      <w:r w:rsidRPr="007113AD">
        <w:rPr>
          <w:rFonts w:ascii="仿宋" w:eastAsia="仿宋" w:hAnsi="仿宋" w:cs="仿宋" w:hint="eastAsia"/>
          <w:sz w:val="32"/>
          <w:szCs w:val="32"/>
        </w:rPr>
        <w:t>为积极、稳妥、有序、顺利推进我院司法体制改革，确保上下齐心协力，通力合作，做好改革的各项工作。经研究，决定成立以院长为组长的司法改革工作领导小组，制定了《长春市南关区人民法院司法改革领导小组2019年工作要点分工方案》，着力构建“全链条”审判权运行监管</w:t>
      </w:r>
      <w:r w:rsidRPr="007113AD">
        <w:rPr>
          <w:rFonts w:ascii="仿宋" w:eastAsia="仿宋" w:hAnsi="仿宋" w:cs="仿宋" w:hint="eastAsia"/>
          <w:sz w:val="32"/>
          <w:szCs w:val="32"/>
        </w:rPr>
        <w:lastRenderedPageBreak/>
        <w:t>机制，着力推行 “规范化”人员分类管理，着力搭建“全方位”便民诉讼服务平台，着力实施“高质量”审判执行领域改革，着力全面“优化”内设机构及人员配置，着力深化“全频道”司法公开，细化分解改革任务，制定改革任务台账，明确责任部门和完成时限，坚决如期完成改革任务。</w:t>
      </w:r>
    </w:p>
    <w:p w:rsidR="0082767A" w:rsidRPr="0082767A" w:rsidRDefault="007113AD" w:rsidP="0082767A">
      <w:pPr>
        <w:ind w:firstLineChars="200" w:firstLine="641"/>
        <w:jc w:val="left"/>
        <w:rPr>
          <w:rFonts w:ascii="华文中宋" w:eastAsia="华文中宋" w:hAnsi="华文中宋"/>
          <w:b/>
          <w:sz w:val="32"/>
          <w:szCs w:val="32"/>
        </w:rPr>
      </w:pPr>
      <w:r>
        <w:rPr>
          <w:rFonts w:ascii="华文中宋" w:eastAsia="华文中宋" w:hAnsi="华文中宋" w:hint="eastAsia"/>
          <w:b/>
          <w:sz w:val="32"/>
          <w:szCs w:val="32"/>
        </w:rPr>
        <w:t>二</w:t>
      </w:r>
      <w:r w:rsidR="0082767A" w:rsidRPr="0082767A">
        <w:rPr>
          <w:rFonts w:ascii="华文中宋" w:eastAsia="华文中宋" w:hAnsi="华文中宋"/>
          <w:b/>
          <w:sz w:val="32"/>
          <w:szCs w:val="32"/>
        </w:rPr>
        <w:t>、深改要点完成情况</w:t>
      </w:r>
    </w:p>
    <w:p w:rsidR="0082767A" w:rsidRPr="0082767A" w:rsidRDefault="0082767A" w:rsidP="0082767A">
      <w:pPr>
        <w:ind w:firstLineChars="200" w:firstLine="643"/>
        <w:jc w:val="left"/>
        <w:rPr>
          <w:rFonts w:ascii="仿宋" w:eastAsia="仿宋" w:hAnsi="仿宋"/>
          <w:b/>
          <w:sz w:val="32"/>
          <w:szCs w:val="32"/>
        </w:rPr>
      </w:pPr>
      <w:r w:rsidRPr="0082767A">
        <w:rPr>
          <w:rFonts w:ascii="仿宋" w:eastAsia="仿宋" w:hAnsi="仿宋" w:hint="eastAsia"/>
          <w:b/>
          <w:sz w:val="32"/>
          <w:szCs w:val="32"/>
        </w:rPr>
        <w:t>（一）</w:t>
      </w:r>
      <w:r w:rsidRPr="0082767A">
        <w:rPr>
          <w:rFonts w:ascii="仿宋" w:eastAsia="仿宋" w:hAnsi="仿宋"/>
          <w:b/>
          <w:sz w:val="32"/>
          <w:szCs w:val="32"/>
        </w:rPr>
        <w:t>细化完善各类审判主体和司法人员责任清单</w:t>
      </w:r>
    </w:p>
    <w:p w:rsidR="0082767A" w:rsidRPr="0082767A" w:rsidRDefault="0082767A" w:rsidP="0082767A">
      <w:pPr>
        <w:ind w:firstLineChars="200" w:firstLine="640"/>
        <w:jc w:val="left"/>
        <w:rPr>
          <w:rFonts w:ascii="仿宋" w:eastAsia="仿宋" w:hAnsi="仿宋"/>
          <w:sz w:val="32"/>
          <w:szCs w:val="32"/>
        </w:rPr>
      </w:pPr>
      <w:r w:rsidRPr="0082767A">
        <w:rPr>
          <w:rFonts w:ascii="仿宋" w:eastAsia="仿宋" w:hAnsi="仿宋" w:hint="eastAsia"/>
          <w:sz w:val="32"/>
          <w:szCs w:val="32"/>
        </w:rPr>
        <w:t>根据案件数量、案件类型、难易程度和人员结构等因素，适应独任制、合议制的不同需要，统筹考虑繁筒分流和审判专业化分工，因地制宜地灵活组建审判团队。审判团队中法官与审判辅助人员实行双向选择与组织调配相结合，完善团队内部分工，强化审判团队作为办案单元和自我管理单元的功能，切实增强团队合力。</w:t>
      </w:r>
    </w:p>
    <w:p w:rsidR="0082767A" w:rsidRPr="0082767A" w:rsidRDefault="0082767A" w:rsidP="0082767A">
      <w:pPr>
        <w:ind w:firstLineChars="200" w:firstLine="640"/>
        <w:jc w:val="left"/>
        <w:rPr>
          <w:rFonts w:ascii="仿宋" w:eastAsia="仿宋" w:hAnsi="仿宋"/>
          <w:sz w:val="32"/>
          <w:szCs w:val="32"/>
        </w:rPr>
      </w:pPr>
      <w:r w:rsidRPr="0082767A">
        <w:rPr>
          <w:rFonts w:ascii="仿宋" w:eastAsia="仿宋" w:hAnsi="仿宋" w:hint="eastAsia"/>
          <w:sz w:val="32"/>
          <w:szCs w:val="32"/>
        </w:rPr>
        <w:t>积极探索以审判权为核心、以审判监督权和管理权为保障的司法责任体系，努力构建权责统一、监督有序、配套齐全的审判权力运行机制。根据法律规定和司法责任制要求，结合案件类型、案件数量等实际情况，细化法官、法官助理、书记员等各岗位职责清单和履职指引，并嵌入办案平台，突出了法官主体地位，改变了行政化、层级化的审判管理模式，切实做到了合议庭有职有权，承办法官独立裁判、辅助人员密切配合。</w:t>
      </w:r>
    </w:p>
    <w:p w:rsidR="0082767A" w:rsidRPr="0082767A" w:rsidRDefault="0082767A" w:rsidP="0082767A">
      <w:pPr>
        <w:ind w:firstLineChars="200" w:firstLine="640"/>
        <w:jc w:val="left"/>
        <w:rPr>
          <w:rFonts w:ascii="仿宋" w:eastAsia="仿宋" w:hAnsi="仿宋"/>
          <w:sz w:val="32"/>
          <w:szCs w:val="32"/>
        </w:rPr>
      </w:pPr>
      <w:r w:rsidRPr="0082767A">
        <w:rPr>
          <w:rFonts w:ascii="仿宋" w:eastAsia="仿宋" w:hAnsi="仿宋" w:hint="eastAsia"/>
          <w:sz w:val="32"/>
          <w:szCs w:val="32"/>
        </w:rPr>
        <w:t>积极探索符合司法审判规律的法官业绩评价体系，制定出台了《南关区人民法院入额法官绩效考核实施办法》，以法官日常履职、办案数量、审判质量、司法技能、廉洁自律、外部评价等为主要内容，对法官进行全方位考察监督。该办法的实施有效提升了审判团队之间良性竞争，为下一步制定法官待遇保障标准提供了科学参考。</w:t>
      </w:r>
    </w:p>
    <w:p w:rsidR="0082767A" w:rsidRPr="0082767A" w:rsidRDefault="0082767A" w:rsidP="0082767A">
      <w:pPr>
        <w:ind w:firstLineChars="200" w:firstLine="643"/>
        <w:jc w:val="left"/>
        <w:rPr>
          <w:rFonts w:ascii="仿宋" w:eastAsia="仿宋" w:hAnsi="仿宋"/>
          <w:b/>
          <w:sz w:val="32"/>
          <w:szCs w:val="32"/>
        </w:rPr>
      </w:pPr>
      <w:r w:rsidRPr="0082767A">
        <w:rPr>
          <w:rFonts w:ascii="仿宋" w:eastAsia="仿宋" w:hAnsi="仿宋" w:hint="eastAsia"/>
          <w:b/>
          <w:sz w:val="32"/>
          <w:szCs w:val="32"/>
        </w:rPr>
        <w:t>（二）</w:t>
      </w:r>
      <w:r w:rsidRPr="0082767A">
        <w:rPr>
          <w:rFonts w:ascii="仿宋" w:eastAsia="仿宋" w:hAnsi="仿宋"/>
          <w:b/>
          <w:sz w:val="32"/>
          <w:szCs w:val="32"/>
        </w:rPr>
        <w:t>细化落实院长、庭长审判监督管理权责清单</w:t>
      </w:r>
    </w:p>
    <w:p w:rsidR="0082767A" w:rsidRPr="0082767A" w:rsidRDefault="0082767A" w:rsidP="0082767A">
      <w:pPr>
        <w:ind w:firstLineChars="200" w:firstLine="640"/>
        <w:jc w:val="left"/>
        <w:rPr>
          <w:rFonts w:ascii="仿宋" w:eastAsia="仿宋" w:hAnsi="仿宋"/>
          <w:sz w:val="32"/>
          <w:szCs w:val="32"/>
        </w:rPr>
      </w:pPr>
      <w:r w:rsidRPr="0082767A">
        <w:rPr>
          <w:rFonts w:ascii="仿宋" w:eastAsia="仿宋" w:hAnsi="仿宋" w:hint="eastAsia"/>
          <w:sz w:val="32"/>
          <w:szCs w:val="32"/>
        </w:rPr>
        <w:t>完善法院院长、庭长办案情况汇集、分析、通报机制，合理确定院长、庭长办案数量，建立院长、庭长办案情况考核监督、见效问责机制。健全完善入额院领导办案实名通报和绩效考核制度，担任领导职务的法官无正当理由不办案或者办案达不到要求的，要退出员额。</w:t>
      </w:r>
    </w:p>
    <w:p w:rsidR="0082767A" w:rsidRPr="0082767A" w:rsidRDefault="0082767A" w:rsidP="0082767A">
      <w:pPr>
        <w:ind w:firstLineChars="200" w:firstLine="640"/>
        <w:jc w:val="left"/>
        <w:rPr>
          <w:rFonts w:ascii="仿宋" w:eastAsia="仿宋" w:hAnsi="仿宋"/>
          <w:sz w:val="32"/>
          <w:szCs w:val="32"/>
        </w:rPr>
      </w:pPr>
      <w:r w:rsidRPr="0082767A">
        <w:rPr>
          <w:rFonts w:ascii="仿宋" w:eastAsia="仿宋" w:hAnsi="仿宋" w:hint="eastAsia"/>
          <w:sz w:val="32"/>
          <w:szCs w:val="32"/>
        </w:rPr>
        <w:t>院庭长的审判管理和监督活动应严格控制在职责和权限范围内，坚持“有所为，有所不为”，既不当“甩手掌柜”、“好好先生”，又不越俎代庖、大包大揽。院庭长审判监督管理权力职责一般包括配置审判资源、部署综合工作、审批程序性事项、监管审判质效、监督“四类案件”、进行业务指导、作出综合评价、检查监督纪律作风等八个方面，对于院庭长应当履行监督管理职责而不履行或怠于履行的，应当追究监督管理责任。</w:t>
      </w:r>
    </w:p>
    <w:p w:rsidR="0082767A" w:rsidRPr="0082767A" w:rsidRDefault="0082767A" w:rsidP="0082767A">
      <w:pPr>
        <w:ind w:firstLineChars="200" w:firstLine="643"/>
        <w:jc w:val="left"/>
        <w:rPr>
          <w:rFonts w:ascii="仿宋" w:eastAsia="仿宋" w:hAnsi="仿宋"/>
          <w:b/>
          <w:sz w:val="32"/>
          <w:szCs w:val="32"/>
        </w:rPr>
      </w:pPr>
      <w:r w:rsidRPr="0082767A">
        <w:rPr>
          <w:rFonts w:ascii="仿宋" w:eastAsia="仿宋" w:hAnsi="仿宋" w:hint="eastAsia"/>
          <w:b/>
          <w:sz w:val="32"/>
          <w:szCs w:val="32"/>
        </w:rPr>
        <w:t>（三）</w:t>
      </w:r>
      <w:r w:rsidRPr="0082767A">
        <w:rPr>
          <w:rFonts w:ascii="仿宋" w:eastAsia="仿宋" w:hAnsi="仿宋"/>
          <w:b/>
          <w:sz w:val="32"/>
          <w:szCs w:val="32"/>
        </w:rPr>
        <w:t>出台完善专业法官会议机制和改革审判委员会制度的举措</w:t>
      </w:r>
    </w:p>
    <w:p w:rsidR="0082767A" w:rsidRPr="0082767A" w:rsidRDefault="0082767A" w:rsidP="0082767A">
      <w:pPr>
        <w:ind w:firstLineChars="200" w:firstLine="640"/>
        <w:jc w:val="left"/>
        <w:rPr>
          <w:rFonts w:ascii="仿宋" w:eastAsia="仿宋" w:hAnsi="仿宋"/>
          <w:sz w:val="32"/>
          <w:szCs w:val="32"/>
        </w:rPr>
      </w:pPr>
      <w:r w:rsidRPr="0082767A">
        <w:rPr>
          <w:rFonts w:ascii="仿宋" w:eastAsia="仿宋" w:hAnsi="仿宋" w:hint="eastAsia"/>
          <w:sz w:val="32"/>
          <w:szCs w:val="32"/>
        </w:rPr>
        <w:t>健全专业法官会议制度，完善召集机制和运行模式，切实发挥为合议庭和独任法官提供咨询参考、统一裁判尺度的重要作用。各专业法官会议由审判骨干及资深法官组成，专业法官会议成员由分管领导推荐，报审判委员会研究决定。分管院领导为各专业法官会议主席，专业法官会议由主席负责召集和主持。</w:t>
      </w:r>
    </w:p>
    <w:p w:rsidR="0082767A" w:rsidRPr="0082767A" w:rsidRDefault="0082767A" w:rsidP="0082767A">
      <w:pPr>
        <w:ind w:firstLineChars="200" w:firstLine="640"/>
        <w:jc w:val="left"/>
        <w:rPr>
          <w:rFonts w:ascii="仿宋" w:eastAsia="仿宋" w:hAnsi="仿宋"/>
          <w:sz w:val="32"/>
          <w:szCs w:val="32"/>
        </w:rPr>
      </w:pPr>
      <w:r w:rsidRPr="0082767A">
        <w:rPr>
          <w:rFonts w:ascii="仿宋" w:eastAsia="仿宋" w:hAnsi="仿宋" w:hint="eastAsia"/>
          <w:sz w:val="32"/>
          <w:szCs w:val="32"/>
        </w:rPr>
        <w:t>明确专业法官会议职责。职责主要是为独任法官或合议庭提供处理案件法律适用方面的咨询意见；为独任法官或合议庭审理的重大、疑难、复杂案件提供分析咨询意见；总结、研究本专业涉及类案统一裁判尺度的法律适用问题；其他需要专业法官会议讨论的事项。</w:t>
      </w:r>
    </w:p>
    <w:p w:rsidR="0082767A" w:rsidRPr="0082767A" w:rsidRDefault="0082767A" w:rsidP="0082767A">
      <w:pPr>
        <w:ind w:firstLineChars="200" w:firstLine="640"/>
        <w:jc w:val="left"/>
        <w:rPr>
          <w:rFonts w:ascii="仿宋" w:eastAsia="仿宋" w:hAnsi="仿宋"/>
          <w:sz w:val="32"/>
          <w:szCs w:val="32"/>
        </w:rPr>
      </w:pPr>
      <w:r w:rsidRPr="0082767A">
        <w:rPr>
          <w:rFonts w:ascii="仿宋" w:eastAsia="仿宋" w:hAnsi="仿宋" w:hint="eastAsia"/>
          <w:sz w:val="32"/>
          <w:szCs w:val="32"/>
        </w:rPr>
        <w:t>强化专业法官会议管理。规定会议的申请、召集、参会人员、会议时间等具体流程。对形成的专业法官会议记录等资料即时整理归档，借阅、复制、摘抄须经审批程序。完善专业法官会议会前准备程序和议事规则，完善配套考核机制，提升专业法官会议质量。</w:t>
      </w:r>
    </w:p>
    <w:p w:rsidR="0082767A" w:rsidRPr="0082767A" w:rsidRDefault="0082767A" w:rsidP="0082767A">
      <w:pPr>
        <w:ind w:firstLineChars="200" w:firstLine="640"/>
        <w:jc w:val="left"/>
        <w:rPr>
          <w:rFonts w:ascii="仿宋" w:eastAsia="仿宋" w:hAnsi="仿宋"/>
          <w:sz w:val="32"/>
          <w:szCs w:val="32"/>
        </w:rPr>
      </w:pPr>
      <w:r w:rsidRPr="0082767A">
        <w:rPr>
          <w:rFonts w:ascii="仿宋" w:eastAsia="仿宋" w:hAnsi="仿宋" w:hint="eastAsia"/>
          <w:sz w:val="32"/>
          <w:szCs w:val="32"/>
        </w:rPr>
        <w:t>健全专业法官会议与合议庭评议、审判委员会讨论的工作衔接机制。合议庭不采纳专业法官会议一致意见或者多数意见的，应当在办案系统中标注并说明理由，并提请庭长、院长予以监督，庭长、院长认为有必要提交审判委员会讨论的，应当按程序将案件提交审判委员会讨论。</w:t>
      </w:r>
    </w:p>
    <w:p w:rsidR="0082767A" w:rsidRDefault="0082767A" w:rsidP="0082767A">
      <w:pPr>
        <w:ind w:firstLineChars="200" w:firstLine="640"/>
        <w:jc w:val="left"/>
        <w:rPr>
          <w:rFonts w:ascii="仿宋" w:eastAsia="仿宋" w:hAnsi="仿宋"/>
          <w:sz w:val="32"/>
          <w:szCs w:val="32"/>
        </w:rPr>
      </w:pPr>
      <w:r w:rsidRPr="0082767A">
        <w:rPr>
          <w:rFonts w:ascii="仿宋" w:eastAsia="仿宋" w:hAnsi="仿宋" w:hint="eastAsia"/>
          <w:sz w:val="32"/>
          <w:szCs w:val="32"/>
        </w:rPr>
        <w:t>充分发挥审判委员会作用，进一步强化审委会总结审判经验、加强审判管理、统一裁判标准、研究审判工作重大事项的职能，切实发挥审委会对重大敏感、疑难复杂等长期未结案件的监督指导作用；严格执行法律法规，狠抓执法办案第一要务，按照三大诉讼法的规定在法律法规规定的框架内分门别类解决导致案件长期未结的专业性问题，研究案件分轻重缓急，超期案件优先研究，突出问题专门研究。</w:t>
      </w:r>
    </w:p>
    <w:p w:rsidR="007113AD" w:rsidRPr="007113AD" w:rsidRDefault="007113AD" w:rsidP="007113AD">
      <w:pPr>
        <w:ind w:firstLineChars="200" w:firstLine="641"/>
        <w:rPr>
          <w:rFonts w:ascii="华文中宋" w:eastAsia="华文中宋" w:hAnsi="华文中宋" w:cs="仿宋"/>
          <w:b/>
          <w:sz w:val="32"/>
          <w:szCs w:val="32"/>
        </w:rPr>
      </w:pPr>
      <w:r w:rsidRPr="007113AD">
        <w:rPr>
          <w:rFonts w:ascii="华文中宋" w:eastAsia="华文中宋" w:hAnsi="华文中宋" w:cs="仿宋" w:hint="eastAsia"/>
          <w:b/>
          <w:sz w:val="32"/>
          <w:szCs w:val="32"/>
        </w:rPr>
        <w:t>三、下一步工作打算</w:t>
      </w:r>
    </w:p>
    <w:p w:rsidR="007113AD" w:rsidRPr="007113AD" w:rsidRDefault="007113AD" w:rsidP="007113AD">
      <w:pPr>
        <w:ind w:firstLineChars="200" w:firstLine="640"/>
        <w:rPr>
          <w:rFonts w:ascii="仿宋" w:eastAsia="仿宋" w:hAnsi="仿宋" w:cs="仿宋"/>
          <w:sz w:val="32"/>
          <w:szCs w:val="32"/>
        </w:rPr>
      </w:pPr>
      <w:r w:rsidRPr="007113AD">
        <w:rPr>
          <w:rFonts w:ascii="仿宋" w:eastAsia="仿宋" w:hAnsi="仿宋" w:cs="仿宋" w:hint="eastAsia"/>
          <w:sz w:val="32"/>
          <w:szCs w:val="32"/>
        </w:rPr>
        <w:t>加强思</w:t>
      </w:r>
      <w:r>
        <w:rPr>
          <w:rFonts w:ascii="仿宋" w:eastAsia="仿宋" w:hAnsi="仿宋" w:cs="仿宋" w:hint="eastAsia"/>
          <w:sz w:val="32"/>
          <w:szCs w:val="32"/>
        </w:rPr>
        <w:t>想引导，确保队伍稳定工作不断。建立院长谈心谈话制度，院长、政治部</w:t>
      </w:r>
      <w:r w:rsidRPr="007113AD">
        <w:rPr>
          <w:rFonts w:ascii="仿宋" w:eastAsia="仿宋" w:hAnsi="仿宋" w:cs="仿宋" w:hint="eastAsia"/>
          <w:sz w:val="32"/>
          <w:szCs w:val="32"/>
        </w:rPr>
        <w:t>主任逐一与中层干部和综合部门工作人员谈心谈话，主动了解和掌握干警的思想动态。针对深化改革引发的利益格局调整，教育引导干警正确认识，正确对待司法改革中的职务调整、岗位调整，自觉服从改革需要和组织安排，为司法改革措施的完善和落实提供强大思想保障。</w:t>
      </w:r>
    </w:p>
    <w:p w:rsidR="0082767A" w:rsidRPr="007113AD" w:rsidRDefault="007113AD" w:rsidP="007113AD">
      <w:pPr>
        <w:rPr>
          <w:rFonts w:ascii="仿宋" w:eastAsia="仿宋" w:hAnsi="仿宋" w:cs="仿宋"/>
          <w:sz w:val="32"/>
          <w:szCs w:val="32"/>
        </w:rPr>
      </w:pPr>
      <w:r w:rsidRPr="007113AD">
        <w:rPr>
          <w:rFonts w:ascii="仿宋" w:eastAsia="仿宋" w:hAnsi="仿宋" w:cs="仿宋" w:hint="eastAsia"/>
          <w:sz w:val="32"/>
          <w:szCs w:val="32"/>
        </w:rPr>
        <w:t xml:space="preserve">    坚持统筹兼顾，助推各项工作再上新台阶。把推进司法体制改革、助推法院高质量发展等工作列为年度目标责任制绩效考核的重要内容，坚持做到统筹兼顾，在案件持续上升的情况下，妥善处理好司法改革与审判执行工作的关系，通过全面落实各项改革措施，最大限度激发内生动力，以改革推动工作，用工作成果助推高质量发展，以高质量发展检验改革成效，为辖区经济社会发展提供更加有力的司法保障和服务。</w:t>
      </w:r>
    </w:p>
    <w:p w:rsidR="0082767A" w:rsidRPr="0082767A" w:rsidRDefault="0082767A" w:rsidP="0082767A">
      <w:pPr>
        <w:ind w:firstLineChars="200" w:firstLine="640"/>
        <w:jc w:val="left"/>
        <w:rPr>
          <w:rFonts w:ascii="仿宋" w:eastAsia="仿宋" w:hAnsi="仿宋"/>
          <w:sz w:val="32"/>
          <w:szCs w:val="32"/>
        </w:rPr>
      </w:pPr>
    </w:p>
    <w:p w:rsidR="0082767A" w:rsidRPr="0082767A" w:rsidRDefault="0082767A" w:rsidP="0082767A">
      <w:pPr>
        <w:jc w:val="right"/>
        <w:rPr>
          <w:rFonts w:ascii="仿宋" w:eastAsia="仿宋" w:hAnsi="仿宋"/>
          <w:sz w:val="32"/>
          <w:szCs w:val="32"/>
        </w:rPr>
      </w:pPr>
      <w:r w:rsidRPr="0082767A">
        <w:rPr>
          <w:rFonts w:ascii="仿宋" w:eastAsia="仿宋" w:hAnsi="仿宋" w:hint="eastAsia"/>
          <w:sz w:val="32"/>
          <w:szCs w:val="32"/>
        </w:rPr>
        <w:t>长春市南关区人民法院</w:t>
      </w:r>
    </w:p>
    <w:p w:rsidR="0082767A" w:rsidRPr="0082767A" w:rsidRDefault="0082767A" w:rsidP="0082767A">
      <w:pPr>
        <w:jc w:val="right"/>
        <w:rPr>
          <w:rFonts w:ascii="仿宋" w:eastAsia="仿宋" w:hAnsi="仿宋"/>
          <w:sz w:val="32"/>
          <w:szCs w:val="32"/>
        </w:rPr>
      </w:pPr>
      <w:bookmarkStart w:id="0" w:name="_GoBack"/>
      <w:bookmarkEnd w:id="0"/>
      <w:r w:rsidRPr="0082767A">
        <w:rPr>
          <w:rFonts w:ascii="仿宋" w:eastAsia="仿宋" w:hAnsi="仿宋"/>
          <w:sz w:val="32"/>
          <w:szCs w:val="32"/>
        </w:rPr>
        <w:t>2019年</w:t>
      </w:r>
      <w:r w:rsidR="00200B48">
        <w:rPr>
          <w:rFonts w:ascii="仿宋" w:eastAsia="仿宋" w:hAnsi="仿宋" w:hint="eastAsia"/>
          <w:sz w:val="32"/>
          <w:szCs w:val="32"/>
        </w:rPr>
        <w:t>11</w:t>
      </w:r>
      <w:r w:rsidRPr="0082767A">
        <w:rPr>
          <w:rFonts w:ascii="仿宋" w:eastAsia="仿宋" w:hAnsi="仿宋"/>
          <w:sz w:val="32"/>
          <w:szCs w:val="32"/>
        </w:rPr>
        <w:t>月</w:t>
      </w:r>
      <w:r w:rsidR="00200B48">
        <w:rPr>
          <w:rFonts w:ascii="仿宋" w:eastAsia="仿宋" w:hAnsi="仿宋" w:hint="eastAsia"/>
          <w:sz w:val="32"/>
          <w:szCs w:val="32"/>
        </w:rPr>
        <w:t>12</w:t>
      </w:r>
      <w:r w:rsidRPr="0082767A">
        <w:rPr>
          <w:rFonts w:ascii="仿宋" w:eastAsia="仿宋" w:hAnsi="仿宋"/>
          <w:sz w:val="32"/>
          <w:szCs w:val="32"/>
        </w:rPr>
        <w:t>日</w:t>
      </w:r>
    </w:p>
    <w:sectPr w:rsidR="0082767A" w:rsidRPr="0082767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6962" w:rsidRDefault="000D6962" w:rsidP="000D6962">
      <w:r>
        <w:separator/>
      </w:r>
    </w:p>
  </w:endnote>
  <w:endnote w:type="continuationSeparator" w:id="0">
    <w:p w:rsidR="000D6962" w:rsidRDefault="000D6962" w:rsidP="000D6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6962" w:rsidRDefault="000D6962" w:rsidP="000D6962">
      <w:r>
        <w:separator/>
      </w:r>
    </w:p>
  </w:footnote>
  <w:footnote w:type="continuationSeparator" w:id="0">
    <w:p w:rsidR="000D6962" w:rsidRDefault="000D6962" w:rsidP="000D696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7A1B9C"/>
    <w:multiLevelType w:val="hybridMultilevel"/>
    <w:tmpl w:val="3AE240D8"/>
    <w:lvl w:ilvl="0" w:tplc="E440F8E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7F3"/>
    <w:rsid w:val="000D6962"/>
    <w:rsid w:val="00200B48"/>
    <w:rsid w:val="00275EE6"/>
    <w:rsid w:val="007113AD"/>
    <w:rsid w:val="0082767A"/>
    <w:rsid w:val="008D17F3"/>
    <w:rsid w:val="00DE14A7"/>
    <w:rsid w:val="00F477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3C7F69A"/>
  <w15:chartTrackingRefBased/>
  <w15:docId w15:val="{45989210-8BFD-4678-95D2-62A3FC7E0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13AD"/>
    <w:pPr>
      <w:ind w:firstLineChars="200" w:firstLine="420"/>
    </w:pPr>
  </w:style>
  <w:style w:type="paragraph" w:styleId="a4">
    <w:name w:val="header"/>
    <w:basedOn w:val="a"/>
    <w:link w:val="a5"/>
    <w:uiPriority w:val="99"/>
    <w:unhideWhenUsed/>
    <w:rsid w:val="000D6962"/>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0D6962"/>
    <w:rPr>
      <w:sz w:val="18"/>
      <w:szCs w:val="18"/>
    </w:rPr>
  </w:style>
  <w:style w:type="paragraph" w:styleId="a6">
    <w:name w:val="footer"/>
    <w:basedOn w:val="a"/>
    <w:link w:val="a7"/>
    <w:uiPriority w:val="99"/>
    <w:unhideWhenUsed/>
    <w:rsid w:val="000D6962"/>
    <w:pPr>
      <w:tabs>
        <w:tab w:val="center" w:pos="4153"/>
        <w:tab w:val="right" w:pos="8306"/>
      </w:tabs>
      <w:snapToGrid w:val="0"/>
      <w:jc w:val="left"/>
    </w:pPr>
    <w:rPr>
      <w:sz w:val="18"/>
      <w:szCs w:val="18"/>
    </w:rPr>
  </w:style>
  <w:style w:type="character" w:customStyle="1" w:styleId="a7">
    <w:name w:val="页脚 字符"/>
    <w:basedOn w:val="a0"/>
    <w:link w:val="a6"/>
    <w:uiPriority w:val="99"/>
    <w:rsid w:val="000D696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6</Pages>
  <Words>370</Words>
  <Characters>2112</Characters>
  <Application>Microsoft Office Word</Application>
  <DocSecurity>0</DocSecurity>
  <Lines>17</Lines>
  <Paragraphs>4</Paragraphs>
  <ScaleCrop>false</ScaleCrop>
  <Company>Microsoft</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7</cp:revision>
  <dcterms:created xsi:type="dcterms:W3CDTF">2019-05-31T01:29:00Z</dcterms:created>
  <dcterms:modified xsi:type="dcterms:W3CDTF">2019-11-12T01:12:00Z</dcterms:modified>
</cp:coreProperties>
</file>