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4"/>
          <w:szCs w:val="44"/>
        </w:rPr>
      </w:pPr>
      <w:r>
        <w:rPr>
          <w:rFonts w:hint="eastAsia" w:ascii="宋体" w:hAnsi="宋体"/>
          <w:b/>
          <w:color w:val="000000"/>
          <w:sz w:val="44"/>
          <w:szCs w:val="44"/>
        </w:rPr>
        <w:t>长春市南关区人民法院工作报告</w:t>
      </w:r>
    </w:p>
    <w:p>
      <w:pPr>
        <w:jc w:val="center"/>
        <w:rPr>
          <w:rFonts w:ascii="楷体" w:hAnsi="楷体" w:eastAsia="楷体"/>
          <w:color w:val="000000"/>
          <w:sz w:val="32"/>
          <w:szCs w:val="32"/>
        </w:rPr>
      </w:pPr>
      <w:r>
        <w:rPr>
          <w:rFonts w:ascii="楷体" w:hAnsi="楷体" w:eastAsia="楷体"/>
          <w:color w:val="000000"/>
          <w:sz w:val="32"/>
          <w:szCs w:val="32"/>
        </w:rPr>
        <w:t>——20</w:t>
      </w:r>
      <w:r>
        <w:rPr>
          <w:rFonts w:hint="eastAsia" w:ascii="楷体" w:hAnsi="楷体" w:eastAsia="楷体"/>
          <w:color w:val="000000"/>
          <w:sz w:val="32"/>
          <w:szCs w:val="32"/>
        </w:rPr>
        <w:t>18</w:t>
      </w:r>
      <w:r>
        <w:rPr>
          <w:rFonts w:ascii="楷体" w:hAnsi="楷体" w:eastAsia="楷体"/>
          <w:color w:val="000000"/>
          <w:sz w:val="32"/>
          <w:szCs w:val="32"/>
        </w:rPr>
        <w:t>年</w:t>
      </w:r>
      <w:r>
        <w:rPr>
          <w:rFonts w:hint="eastAsia" w:ascii="楷体" w:hAnsi="楷体" w:eastAsia="楷体"/>
          <w:color w:val="000000"/>
          <w:sz w:val="32"/>
          <w:szCs w:val="32"/>
        </w:rPr>
        <w:t>12</w:t>
      </w:r>
      <w:r>
        <w:rPr>
          <w:rFonts w:ascii="楷体" w:hAnsi="楷体" w:eastAsia="楷体"/>
          <w:color w:val="000000"/>
          <w:sz w:val="32"/>
          <w:szCs w:val="32"/>
        </w:rPr>
        <w:t>月</w:t>
      </w:r>
      <w:r>
        <w:rPr>
          <w:rFonts w:hint="eastAsia" w:ascii="楷体" w:hAnsi="楷体" w:eastAsia="楷体"/>
          <w:color w:val="000000"/>
          <w:sz w:val="32"/>
          <w:szCs w:val="32"/>
          <w:lang w:val="en-US" w:eastAsia="zh-CN"/>
        </w:rPr>
        <w:t>27</w:t>
      </w:r>
      <w:r>
        <w:rPr>
          <w:rFonts w:ascii="楷体" w:hAnsi="楷体" w:eastAsia="楷体"/>
          <w:color w:val="000000"/>
          <w:sz w:val="32"/>
          <w:szCs w:val="32"/>
        </w:rPr>
        <w:t>日在长春市南关区</w:t>
      </w:r>
    </w:p>
    <w:p>
      <w:pPr>
        <w:jc w:val="center"/>
        <w:rPr>
          <w:rFonts w:ascii="楷体" w:hAnsi="楷体" w:eastAsia="楷体"/>
          <w:color w:val="000000"/>
          <w:sz w:val="32"/>
          <w:szCs w:val="32"/>
        </w:rPr>
      </w:pPr>
      <w:r>
        <w:rPr>
          <w:rFonts w:ascii="楷体" w:hAnsi="楷体" w:eastAsia="楷体"/>
          <w:color w:val="000000"/>
          <w:sz w:val="32"/>
          <w:szCs w:val="32"/>
        </w:rPr>
        <w:t>第</w:t>
      </w:r>
      <w:r>
        <w:rPr>
          <w:rFonts w:hint="eastAsia" w:ascii="楷体" w:hAnsi="楷体" w:eastAsia="楷体"/>
          <w:color w:val="000000"/>
          <w:sz w:val="32"/>
          <w:szCs w:val="32"/>
          <w:lang w:eastAsia="zh-CN"/>
        </w:rPr>
        <w:t>十八</w:t>
      </w:r>
      <w:r>
        <w:rPr>
          <w:rFonts w:ascii="楷体" w:hAnsi="楷体" w:eastAsia="楷体"/>
          <w:color w:val="000000"/>
          <w:sz w:val="32"/>
          <w:szCs w:val="32"/>
        </w:rPr>
        <w:t>届人民代表大会第</w:t>
      </w:r>
      <w:r>
        <w:rPr>
          <w:rFonts w:hint="eastAsia" w:ascii="楷体" w:hAnsi="楷体" w:eastAsia="楷体"/>
          <w:color w:val="000000"/>
          <w:sz w:val="32"/>
          <w:szCs w:val="32"/>
          <w:lang w:eastAsia="zh-CN"/>
        </w:rPr>
        <w:t>三</w:t>
      </w:r>
      <w:r>
        <w:rPr>
          <w:rFonts w:ascii="楷体" w:hAnsi="楷体" w:eastAsia="楷体"/>
          <w:color w:val="000000"/>
          <w:sz w:val="32"/>
          <w:szCs w:val="32"/>
        </w:rPr>
        <w:t>次会议上</w:t>
      </w:r>
      <w:bookmarkStart w:id="0" w:name="_GoBack"/>
      <w:bookmarkEnd w:id="0"/>
    </w:p>
    <w:p>
      <w:pPr>
        <w:jc w:val="center"/>
        <w:rPr>
          <w:rFonts w:ascii="楷体" w:hAnsi="楷体" w:eastAsia="楷体"/>
          <w:color w:val="000000"/>
          <w:sz w:val="32"/>
          <w:szCs w:val="32"/>
        </w:rPr>
      </w:pPr>
    </w:p>
    <w:p>
      <w:pPr>
        <w:jc w:val="center"/>
        <w:rPr>
          <w:rFonts w:hint="eastAsia" w:ascii="楷体" w:hAnsi="楷体" w:eastAsia="楷体"/>
          <w:color w:val="000000"/>
          <w:sz w:val="32"/>
          <w:szCs w:val="32"/>
        </w:rPr>
      </w:pPr>
      <w:r>
        <w:rPr>
          <w:rFonts w:hint="eastAsia" w:ascii="楷体" w:hAnsi="楷体" w:eastAsia="楷体"/>
          <w:color w:val="000000"/>
          <w:sz w:val="32"/>
          <w:szCs w:val="32"/>
        </w:rPr>
        <w:t>南关区人民法院院长</w:t>
      </w:r>
      <w:r>
        <w:rPr>
          <w:rFonts w:hint="eastAsia" w:ascii="楷体" w:hAnsi="楷体" w:eastAsia="楷体"/>
          <w:b/>
          <w:color w:val="000000"/>
          <w:sz w:val="32"/>
          <w:szCs w:val="32"/>
        </w:rPr>
        <w:t xml:space="preserve">  </w:t>
      </w:r>
      <w:r>
        <w:rPr>
          <w:rFonts w:hint="eastAsia" w:ascii="黑体" w:hAnsi="黑体" w:eastAsia="黑体" w:cs="黑体"/>
          <w:b/>
          <w:bCs/>
          <w:color w:val="000000"/>
          <w:sz w:val="32"/>
          <w:szCs w:val="32"/>
        </w:rPr>
        <w:t>郭桂玲</w:t>
      </w:r>
    </w:p>
    <w:p>
      <w:pPr>
        <w:jc w:val="center"/>
        <w:rPr>
          <w:rFonts w:hint="eastAsia" w:ascii="楷体" w:hAnsi="楷体" w:eastAsia="楷体"/>
          <w:color w:val="000000"/>
          <w:sz w:val="32"/>
          <w:szCs w:val="32"/>
        </w:rPr>
      </w:pPr>
    </w:p>
    <w:p>
      <w:pPr>
        <w:rPr>
          <w:rFonts w:eastAsia="仿宋_GB2312"/>
          <w:sz w:val="32"/>
          <w:szCs w:val="32"/>
        </w:rPr>
      </w:pPr>
      <w:r>
        <w:rPr>
          <w:rFonts w:eastAsia="仿宋_GB2312"/>
          <w:sz w:val="32"/>
          <w:szCs w:val="32"/>
        </w:rPr>
        <w:t>各位</w:t>
      </w:r>
      <w:r>
        <w:rPr>
          <w:rFonts w:hint="eastAsia" w:eastAsia="仿宋_GB2312"/>
          <w:sz w:val="32"/>
          <w:szCs w:val="32"/>
        </w:rPr>
        <w:t>代表</w:t>
      </w:r>
      <w:r>
        <w:rPr>
          <w:rFonts w:eastAsia="仿宋_GB2312"/>
          <w:sz w:val="32"/>
          <w:szCs w:val="32"/>
        </w:rPr>
        <w:t>：</w:t>
      </w:r>
    </w:p>
    <w:p>
      <w:pPr>
        <w:widowControl/>
        <w:adjustRightInd w:val="0"/>
        <w:ind w:firstLine="640" w:firstLineChars="200"/>
        <w:rPr>
          <w:rFonts w:eastAsia="仿宋_GB2312"/>
          <w:sz w:val="32"/>
          <w:szCs w:val="32"/>
        </w:rPr>
      </w:pPr>
      <w:r>
        <w:rPr>
          <w:rFonts w:eastAsia="仿宋_GB2312"/>
          <w:sz w:val="32"/>
          <w:szCs w:val="32"/>
        </w:rPr>
        <w:t>现在，我代表区法院向大会报告工作，</w:t>
      </w:r>
      <w:r>
        <w:rPr>
          <w:rFonts w:hint="eastAsia" w:eastAsia="仿宋_GB2312"/>
          <w:sz w:val="32"/>
          <w:szCs w:val="32"/>
        </w:rPr>
        <w:t>请予审议，并请列席同志提出意见。</w:t>
      </w:r>
    </w:p>
    <w:p>
      <w:pPr>
        <w:widowControl/>
        <w:adjustRightInd w:val="0"/>
        <w:ind w:firstLine="640" w:firstLineChars="200"/>
        <w:rPr>
          <w:rFonts w:eastAsia="仿宋_GB2312"/>
          <w:sz w:val="32"/>
          <w:szCs w:val="32"/>
        </w:rPr>
      </w:pPr>
      <w:r>
        <w:rPr>
          <w:rFonts w:hint="eastAsia" w:eastAsia="仿宋_GB2312"/>
          <w:sz w:val="32"/>
          <w:szCs w:val="32"/>
        </w:rPr>
        <w:t>2018年</w:t>
      </w:r>
      <w:r>
        <w:rPr>
          <w:rFonts w:eastAsia="仿宋_GB2312"/>
          <w:sz w:val="32"/>
          <w:szCs w:val="32"/>
        </w:rPr>
        <w:t>，</w:t>
      </w:r>
      <w:r>
        <w:rPr>
          <w:rFonts w:hint="eastAsia" w:eastAsia="仿宋_GB2312"/>
          <w:sz w:val="32"/>
          <w:szCs w:val="32"/>
        </w:rPr>
        <w:t>区法院在区委坚强领导、区人大有效监督和上级法院</w:t>
      </w:r>
      <w:r>
        <w:rPr>
          <w:rFonts w:hint="eastAsia" w:eastAsia="仿宋_GB2312"/>
          <w:sz w:val="32"/>
          <w:szCs w:val="32"/>
          <w:lang w:eastAsia="zh-CN"/>
        </w:rPr>
        <w:t>悉心指</w:t>
      </w:r>
      <w:r>
        <w:rPr>
          <w:rFonts w:hint="eastAsia" w:eastAsia="仿宋_GB2312"/>
          <w:sz w:val="32"/>
          <w:szCs w:val="32"/>
        </w:rPr>
        <w:t>导下，在区政府、区政协和社会各界的</w:t>
      </w:r>
      <w:r>
        <w:rPr>
          <w:rFonts w:hint="eastAsia" w:eastAsia="仿宋_GB2312"/>
          <w:sz w:val="32"/>
          <w:szCs w:val="32"/>
          <w:lang w:eastAsia="zh-CN"/>
        </w:rPr>
        <w:t>大力</w:t>
      </w:r>
      <w:r>
        <w:rPr>
          <w:rFonts w:hint="eastAsia" w:eastAsia="仿宋_GB2312"/>
          <w:sz w:val="32"/>
          <w:szCs w:val="32"/>
        </w:rPr>
        <w:t>支持下，坚持以习近平新时代中国特色社会主义思想为指导，紧紧围绕“努力让人民群众在每一个司法案件中感受到公平正义”的目标，坚持“司法为民、公正司法”工作主线，加强司法管理，深化司法改革，规范执法办案，推进队伍建设，在巩固中求提高，在创新中求发展，各项工作取得了新成绩，为全区经济社会和谐稳定发展提供了有力的司法保障。</w:t>
      </w:r>
    </w:p>
    <w:p>
      <w:pPr>
        <w:widowControl/>
        <w:numPr>
          <w:ilvl w:val="0"/>
          <w:numId w:val="1"/>
        </w:numPr>
        <w:adjustRightInd w:val="0"/>
        <w:ind w:firstLine="643" w:firstLineChars="200"/>
        <w:rPr>
          <w:rFonts w:ascii="黑体" w:hAnsi="黑体" w:eastAsia="黑体" w:cs="黑体"/>
          <w:b/>
          <w:bCs/>
          <w:sz w:val="32"/>
          <w:szCs w:val="32"/>
        </w:rPr>
      </w:pPr>
      <w:r>
        <w:rPr>
          <w:rFonts w:hint="eastAsia" w:ascii="黑体" w:hAnsi="黑体" w:eastAsia="黑体" w:cs="黑体"/>
          <w:b/>
          <w:bCs/>
          <w:sz w:val="32"/>
          <w:szCs w:val="32"/>
        </w:rPr>
        <w:t>聚焦重点，坚决执行中央决策部署</w:t>
      </w:r>
    </w:p>
    <w:p>
      <w:pPr>
        <w:widowControl/>
        <w:ind w:firstLine="643" w:firstLineChars="200"/>
        <w:rPr>
          <w:rFonts w:ascii="仿宋" w:hAnsi="仿宋" w:eastAsia="仿宋" w:cs="仿宋"/>
          <w:sz w:val="32"/>
          <w:szCs w:val="32"/>
        </w:rPr>
      </w:pPr>
      <w:r>
        <w:rPr>
          <w:rFonts w:hint="eastAsia" w:ascii="楷体" w:hAnsi="楷体" w:eastAsia="楷体" w:cs="楷体"/>
          <w:b/>
          <w:bCs/>
          <w:sz w:val="32"/>
          <w:szCs w:val="32"/>
        </w:rPr>
        <w:t>全力推进扫黑除恶专项斗争。</w:t>
      </w:r>
      <w:r>
        <w:rPr>
          <w:rFonts w:hint="eastAsia" w:ascii="仿宋" w:hAnsi="仿宋" w:eastAsia="仿宋" w:cs="仿宋"/>
          <w:sz w:val="32"/>
          <w:szCs w:val="32"/>
        </w:rPr>
        <w:t>把开展扫黑除恶专项斗争作为一项重大的政治工程、民生工程、法治工程抓紧抓实抓好，积极发挥司法职能助力区委扫黑除恶行动，确保中央和省市区委决策部署在区法院得到不折不扣的落实。成立扫黑除恶专项斗争领导小组，制定实施方案，组建由院庭长担任审判长的专业化审判团队，逐级压实政治责任。加强与公安、检察机关的协作，</w:t>
      </w:r>
      <w:r>
        <w:rPr>
          <w:rFonts w:hint="eastAsia" w:ascii="仿宋" w:hAnsi="仿宋" w:eastAsia="仿宋" w:cs="仿宋"/>
          <w:sz w:val="32"/>
          <w:szCs w:val="32"/>
          <w:lang w:val="en-US" w:eastAsia="zh-CN"/>
        </w:rPr>
        <w:t>6</w:t>
      </w:r>
      <w:r>
        <w:rPr>
          <w:rFonts w:hint="eastAsia" w:ascii="仿宋" w:hAnsi="仿宋" w:eastAsia="仿宋" w:cs="仿宋"/>
          <w:sz w:val="32"/>
          <w:szCs w:val="32"/>
        </w:rPr>
        <w:t>次一起座谈分析涉黑涉恶犯罪特征，研究“打早打小”、“打准打实”举措，力争打好主动仗、整体仗。设立举报箱、悬挂条幅、制作宣传板，积极营造全民参与扫黑除恶专项斗争的良好氛围。将扫黑除恶专项斗争与反腐败斗争及基层“拍蝇”紧密结合，全面开展“一案三查”，目前已排查出线索2条，并已立案，推进扫黑除恶专项斗争深入开展。</w:t>
      </w:r>
      <w:r>
        <w:rPr>
          <w:rFonts w:hint="eastAsia" w:ascii="仿宋" w:hAnsi="仿宋" w:eastAsia="仿宋" w:cs="宋体"/>
          <w:kern w:val="0"/>
          <w:sz w:val="32"/>
          <w:szCs w:val="32"/>
        </w:rPr>
        <w:t>针对吕某、张某等七名被告人涉恶案件，法检两长将亲自办案并同时参加庭审，突出办案质量，依法从严从快从重惩处。</w:t>
      </w:r>
    </w:p>
    <w:p>
      <w:pPr>
        <w:widowControl/>
        <w:adjustRightInd w:val="0"/>
        <w:ind w:firstLine="640"/>
        <w:rPr>
          <w:rFonts w:ascii="仿宋" w:hAnsi="仿宋" w:eastAsia="仿宋" w:cs="仿宋"/>
          <w:sz w:val="32"/>
          <w:szCs w:val="32"/>
        </w:rPr>
      </w:pPr>
      <w:r>
        <w:rPr>
          <w:rFonts w:hint="eastAsia" w:ascii="楷体" w:hAnsi="楷体" w:eastAsia="楷体" w:cs="楷体"/>
          <w:b/>
          <w:bCs/>
          <w:sz w:val="32"/>
          <w:szCs w:val="32"/>
        </w:rPr>
        <w:t>举全院全员之力打赢执行攻坚战。</w:t>
      </w:r>
      <w:r>
        <w:rPr>
          <w:rFonts w:hint="eastAsia" w:ascii="仿宋" w:hAnsi="仿宋" w:eastAsia="仿宋" w:cs="仿宋"/>
          <w:sz w:val="32"/>
          <w:szCs w:val="32"/>
        </w:rPr>
        <w:t>自最高人民法院院长周强提出“用两到三年时间基本解决执行难”任务要求以来，区法院以前所未有的工作态度、执行强度、保障力度，不断提高政治站位、完善工作机制、升级查控手段、穷尽执行措施，对多年来</w:t>
      </w:r>
      <w:r>
        <w:rPr>
          <w:rFonts w:hint="eastAsia" w:ascii="仿宋" w:hAnsi="仿宋" w:eastAsia="仿宋" w:cs="仿宋"/>
          <w:sz w:val="32"/>
          <w:szCs w:val="32"/>
          <w:lang w:val="en-US" w:eastAsia="zh-CN"/>
        </w:rPr>
        <w:t>10015</w:t>
      </w:r>
      <w:r>
        <w:rPr>
          <w:rFonts w:hint="eastAsia" w:ascii="仿宋" w:hAnsi="仿宋" w:eastAsia="仿宋" w:cs="仿宋"/>
          <w:sz w:val="32"/>
          <w:szCs w:val="32"/>
        </w:rPr>
        <w:t>件执行积案进行清理，取得了前所未有的执行成效，有财产可供执行案件在法定期限内执结率达到</w:t>
      </w:r>
      <w:r>
        <w:rPr>
          <w:rFonts w:hint="eastAsia" w:ascii="仿宋" w:hAnsi="仿宋" w:eastAsia="仿宋" w:cs="仿宋"/>
          <w:sz w:val="32"/>
          <w:szCs w:val="32"/>
          <w:lang w:val="en-US" w:eastAsia="zh-CN"/>
        </w:rPr>
        <w:t>92.34%</w:t>
      </w:r>
      <w:r>
        <w:rPr>
          <w:rFonts w:hint="eastAsia" w:ascii="仿宋" w:hAnsi="仿宋" w:eastAsia="仿宋" w:cs="仿宋"/>
          <w:sz w:val="32"/>
          <w:szCs w:val="32"/>
        </w:rPr>
        <w:t>，无财产可供执行</w:t>
      </w:r>
      <w:r>
        <w:rPr>
          <w:rFonts w:hint="eastAsia" w:ascii="仿宋" w:hAnsi="仿宋" w:eastAsia="仿宋" w:cs="仿宋"/>
          <w:sz w:val="32"/>
          <w:szCs w:val="32"/>
          <w:lang w:eastAsia="zh-CN"/>
        </w:rPr>
        <w:t>案件终结本次</w:t>
      </w:r>
      <w:r>
        <w:rPr>
          <w:rFonts w:hint="eastAsia" w:ascii="仿宋" w:hAnsi="仿宋" w:eastAsia="仿宋" w:cs="仿宋"/>
          <w:sz w:val="32"/>
          <w:szCs w:val="32"/>
        </w:rPr>
        <w:t>合格率达到</w:t>
      </w:r>
      <w:r>
        <w:rPr>
          <w:rFonts w:hint="eastAsia" w:ascii="仿宋" w:hAnsi="仿宋" w:eastAsia="仿宋" w:cs="仿宋"/>
          <w:sz w:val="32"/>
          <w:szCs w:val="32"/>
          <w:lang w:val="en-US" w:eastAsia="zh-CN"/>
        </w:rPr>
        <w:t>91%</w:t>
      </w:r>
      <w:r>
        <w:rPr>
          <w:rFonts w:hint="eastAsia" w:ascii="仿宋" w:hAnsi="仿宋" w:eastAsia="仿宋" w:cs="仿宋"/>
          <w:sz w:val="32"/>
          <w:szCs w:val="32"/>
        </w:rPr>
        <w:t>，执行信访办结率达到</w:t>
      </w:r>
      <w:r>
        <w:rPr>
          <w:rFonts w:hint="eastAsia" w:ascii="仿宋" w:hAnsi="仿宋" w:eastAsia="仿宋" w:cs="仿宋"/>
          <w:sz w:val="32"/>
          <w:szCs w:val="32"/>
          <w:lang w:val="en-US" w:eastAsia="zh-CN"/>
        </w:rPr>
        <w:t>100%</w:t>
      </w:r>
      <w:r>
        <w:rPr>
          <w:rFonts w:hint="eastAsia" w:ascii="仿宋" w:hAnsi="仿宋" w:eastAsia="仿宋" w:cs="仿宋"/>
          <w:sz w:val="32"/>
          <w:szCs w:val="32"/>
        </w:rPr>
        <w:t>，执行案件结案率达到</w:t>
      </w:r>
      <w:r>
        <w:rPr>
          <w:rFonts w:hint="eastAsia" w:ascii="仿宋" w:hAnsi="仿宋" w:eastAsia="仿宋" w:cs="仿宋"/>
          <w:sz w:val="32"/>
          <w:szCs w:val="32"/>
          <w:lang w:val="en-US" w:eastAsia="zh-CN"/>
        </w:rPr>
        <w:t>80.27%</w:t>
      </w:r>
      <w:r>
        <w:rPr>
          <w:rFonts w:hint="eastAsia" w:ascii="仿宋" w:hAnsi="仿宋" w:eastAsia="仿宋" w:cs="仿宋"/>
          <w:sz w:val="32"/>
          <w:szCs w:val="32"/>
        </w:rPr>
        <w:t>，如期完成了“三个90%、一个80%”目标要求，10月底顺利通过全国“第三方评估体系”检查验收。全年共受理执行案件</w:t>
      </w:r>
      <w:r>
        <w:rPr>
          <w:rFonts w:hint="eastAsia" w:ascii="仿宋" w:hAnsi="仿宋" w:eastAsia="仿宋" w:cs="仿宋"/>
          <w:sz w:val="32"/>
          <w:szCs w:val="32"/>
          <w:lang w:val="en-US" w:eastAsia="zh-CN"/>
        </w:rPr>
        <w:t>4487</w:t>
      </w:r>
      <w:r>
        <w:rPr>
          <w:rFonts w:hint="eastAsia" w:ascii="仿宋" w:hAnsi="仿宋" w:eastAsia="仿宋" w:cs="仿宋"/>
          <w:sz w:val="32"/>
          <w:szCs w:val="32"/>
        </w:rPr>
        <w:t>件，收案量全市最高，采取“5+2”、“白加黑”工作制，执结</w:t>
      </w:r>
      <w:r>
        <w:rPr>
          <w:rFonts w:hint="eastAsia" w:ascii="仿宋" w:hAnsi="仿宋" w:eastAsia="仿宋" w:cs="仿宋"/>
          <w:sz w:val="32"/>
          <w:szCs w:val="32"/>
          <w:lang w:val="en-US" w:eastAsia="zh-CN"/>
        </w:rPr>
        <w:t>3828</w:t>
      </w:r>
      <w:r>
        <w:rPr>
          <w:rFonts w:hint="eastAsia" w:ascii="仿宋" w:hAnsi="仿宋" w:eastAsia="仿宋" w:cs="仿宋"/>
          <w:sz w:val="32"/>
          <w:szCs w:val="32"/>
        </w:rPr>
        <w:t>件，法官人均收案</w:t>
      </w:r>
      <w:r>
        <w:rPr>
          <w:rFonts w:hint="eastAsia" w:ascii="仿宋" w:hAnsi="仿宋" w:eastAsia="仿宋" w:cs="仿宋"/>
          <w:sz w:val="32"/>
          <w:szCs w:val="32"/>
          <w:lang w:val="en-US" w:eastAsia="zh-CN"/>
        </w:rPr>
        <w:t>499</w:t>
      </w:r>
      <w:r>
        <w:rPr>
          <w:rFonts w:hint="eastAsia" w:ascii="仿宋" w:hAnsi="仿宋" w:eastAsia="仿宋" w:cs="仿宋"/>
          <w:sz w:val="32"/>
          <w:szCs w:val="32"/>
        </w:rPr>
        <w:t>件，结案</w:t>
      </w:r>
      <w:r>
        <w:rPr>
          <w:rFonts w:hint="eastAsia" w:ascii="仿宋" w:hAnsi="仿宋" w:eastAsia="仿宋" w:cs="仿宋"/>
          <w:sz w:val="32"/>
          <w:szCs w:val="32"/>
          <w:lang w:val="en-US" w:eastAsia="zh-CN"/>
        </w:rPr>
        <w:t>425</w:t>
      </w:r>
      <w:r>
        <w:rPr>
          <w:rFonts w:hint="eastAsia" w:ascii="仿宋" w:hAnsi="仿宋" w:eastAsia="仿宋" w:cs="仿宋"/>
          <w:sz w:val="32"/>
          <w:szCs w:val="32"/>
        </w:rPr>
        <w:t>件，为权利人实现债权</w:t>
      </w:r>
      <w:r>
        <w:rPr>
          <w:rFonts w:hint="eastAsia" w:ascii="仿宋" w:hAnsi="仿宋" w:eastAsia="仿宋" w:cs="仿宋"/>
          <w:sz w:val="32"/>
          <w:szCs w:val="32"/>
          <w:lang w:val="en-US" w:eastAsia="zh-CN"/>
        </w:rPr>
        <w:t>6.2</w:t>
      </w:r>
      <w:r>
        <w:rPr>
          <w:rFonts w:hint="eastAsia" w:ascii="仿宋" w:hAnsi="仿宋" w:eastAsia="仿宋" w:cs="仿宋"/>
          <w:sz w:val="32"/>
          <w:szCs w:val="32"/>
        </w:rPr>
        <w:t>亿元。开展集中强制执行行动</w:t>
      </w:r>
      <w:r>
        <w:rPr>
          <w:rFonts w:hint="eastAsia" w:ascii="仿宋" w:hAnsi="仿宋" w:eastAsia="仿宋" w:cs="仿宋"/>
          <w:sz w:val="32"/>
          <w:szCs w:val="32"/>
          <w:lang w:val="en-US" w:eastAsia="zh-CN"/>
        </w:rPr>
        <w:t>46</w:t>
      </w:r>
      <w:r>
        <w:rPr>
          <w:rFonts w:hint="eastAsia" w:ascii="仿宋" w:hAnsi="仿宋" w:eastAsia="仿宋" w:cs="仿宋"/>
          <w:sz w:val="32"/>
          <w:szCs w:val="32"/>
        </w:rPr>
        <w:t>次</w:t>
      </w:r>
      <w:r>
        <w:rPr>
          <w:rFonts w:hint="eastAsia" w:ascii="仿宋" w:hAnsi="仿宋" w:eastAsia="仿宋" w:cs="仿宋"/>
          <w:sz w:val="32"/>
          <w:szCs w:val="32"/>
          <w:lang w:eastAsia="zh-CN"/>
        </w:rPr>
        <w:t>，</w:t>
      </w:r>
      <w:r>
        <w:rPr>
          <w:rFonts w:hint="eastAsia" w:ascii="仿宋" w:hAnsi="仿宋" w:eastAsia="仿宋" w:cs="仿宋"/>
          <w:sz w:val="32"/>
          <w:szCs w:val="32"/>
        </w:rPr>
        <w:t>拘留</w:t>
      </w:r>
      <w:r>
        <w:rPr>
          <w:rFonts w:hint="eastAsia" w:ascii="仿宋" w:hAnsi="仿宋" w:eastAsia="仿宋" w:cs="仿宋"/>
          <w:sz w:val="32"/>
          <w:szCs w:val="32"/>
          <w:lang w:val="en-US" w:eastAsia="zh-CN"/>
        </w:rPr>
        <w:t>113</w:t>
      </w:r>
      <w:r>
        <w:rPr>
          <w:rFonts w:hint="eastAsia" w:ascii="仿宋" w:hAnsi="仿宋" w:eastAsia="仿宋" w:cs="仿宋"/>
          <w:sz w:val="32"/>
          <w:szCs w:val="32"/>
        </w:rPr>
        <w:t>人</w:t>
      </w:r>
      <w:r>
        <w:rPr>
          <w:rFonts w:hint="eastAsia" w:ascii="仿宋" w:hAnsi="仿宋" w:eastAsia="仿宋" w:cs="仿宋"/>
          <w:sz w:val="32"/>
          <w:szCs w:val="32"/>
          <w:lang w:eastAsia="zh-CN"/>
        </w:rPr>
        <w:t>，涉拒执罪移送公安机关</w:t>
      </w:r>
      <w:r>
        <w:rPr>
          <w:rFonts w:hint="eastAsia" w:ascii="仿宋" w:hAnsi="仿宋" w:eastAsia="仿宋" w:cs="仿宋"/>
          <w:sz w:val="32"/>
          <w:szCs w:val="32"/>
          <w:lang w:val="en-US" w:eastAsia="zh-CN"/>
        </w:rPr>
        <w:t>4人，</w:t>
      </w:r>
      <w:r>
        <w:rPr>
          <w:rFonts w:hint="eastAsia" w:ascii="仿宋" w:hAnsi="仿宋" w:eastAsia="仿宋" w:cs="仿宋"/>
          <w:sz w:val="32"/>
          <w:szCs w:val="32"/>
        </w:rPr>
        <w:t>有力彰显司法权威。加大执行宣传力度，网上直播强制执行过程，将</w:t>
      </w:r>
      <w:r>
        <w:rPr>
          <w:rFonts w:hint="eastAsia" w:ascii="仿宋" w:hAnsi="仿宋" w:eastAsia="仿宋" w:cs="仿宋"/>
          <w:sz w:val="32"/>
          <w:szCs w:val="32"/>
          <w:lang w:val="en-US" w:eastAsia="zh-CN"/>
        </w:rPr>
        <w:t>911</w:t>
      </w:r>
      <w:r>
        <w:rPr>
          <w:rFonts w:hint="eastAsia" w:ascii="仿宋" w:hAnsi="仿宋" w:eastAsia="仿宋" w:cs="仿宋"/>
          <w:sz w:val="32"/>
          <w:szCs w:val="32"/>
        </w:rPr>
        <w:t>名失信被执行人纳入失信名单，在各大商圈、公交车、客运站公示失信被执行人，积极构筑社会信用底线。</w:t>
      </w:r>
      <w:r>
        <w:rPr>
          <w:rFonts w:hint="eastAsia" w:ascii="仿宋" w:hAnsi="仿宋" w:eastAsia="仿宋" w:cs="仿宋"/>
          <w:sz w:val="32"/>
          <w:szCs w:val="32"/>
          <w:lang w:eastAsia="zh-CN"/>
        </w:rPr>
        <w:t>有关执行工作的经验做法在《焦点访谈》播出，</w:t>
      </w:r>
      <w:r>
        <w:rPr>
          <w:rFonts w:hint="eastAsia" w:ascii="仿宋" w:hAnsi="仿宋" w:eastAsia="仿宋" w:cs="仿宋"/>
          <w:sz w:val="32"/>
          <w:szCs w:val="32"/>
        </w:rPr>
        <w:t>执行局被市法院推荐为“人民满意政法标兵单位”</w:t>
      </w:r>
      <w:r>
        <w:rPr>
          <w:rFonts w:hint="eastAsia" w:ascii="仿宋_GB2312" w:hAnsi="黑体" w:eastAsia="仿宋_GB2312"/>
          <w:sz w:val="32"/>
          <w:szCs w:val="32"/>
        </w:rPr>
        <w:t>，</w:t>
      </w:r>
      <w:r>
        <w:rPr>
          <w:rFonts w:hint="eastAsia" w:ascii="仿宋" w:hAnsi="仿宋" w:eastAsia="仿宋" w:cs="仿宋"/>
          <w:sz w:val="32"/>
          <w:szCs w:val="32"/>
        </w:rPr>
        <w:t>吴晓波副院长被授予</w:t>
      </w:r>
      <w:r>
        <w:rPr>
          <w:rFonts w:hint="eastAsia" w:ascii="仿宋_GB2312" w:hAnsi="黑体" w:eastAsia="仿宋_GB2312"/>
          <w:sz w:val="32"/>
          <w:szCs w:val="32"/>
        </w:rPr>
        <w:t>经济工作先进个人</w:t>
      </w:r>
      <w:r>
        <w:rPr>
          <w:rFonts w:hint="eastAsia" w:ascii="仿宋" w:hAnsi="仿宋" w:eastAsia="仿宋" w:cs="仿宋"/>
          <w:sz w:val="32"/>
          <w:szCs w:val="32"/>
        </w:rPr>
        <w:t>。</w:t>
      </w:r>
    </w:p>
    <w:p>
      <w:pPr>
        <w:widowControl/>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二、强化主业，维护社会和谐稳定</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截止11月30日，共受理各类案件</w:t>
      </w:r>
      <w:r>
        <w:rPr>
          <w:rFonts w:hint="eastAsia" w:ascii="仿宋" w:hAnsi="仿宋" w:eastAsia="仿宋" w:cs="宋体"/>
          <w:kern w:val="0"/>
          <w:sz w:val="32"/>
          <w:szCs w:val="32"/>
          <w:lang w:val="en-US" w:eastAsia="zh-CN"/>
        </w:rPr>
        <w:t>10692</w:t>
      </w:r>
      <w:r>
        <w:rPr>
          <w:rFonts w:hint="eastAsia" w:ascii="仿宋" w:hAnsi="仿宋" w:eastAsia="仿宋" w:cs="宋体"/>
          <w:kern w:val="0"/>
          <w:sz w:val="32"/>
          <w:szCs w:val="32"/>
        </w:rPr>
        <w:t xml:space="preserve">件，结案 </w:t>
      </w:r>
      <w:r>
        <w:rPr>
          <w:rFonts w:hint="eastAsia" w:ascii="仿宋" w:hAnsi="仿宋" w:eastAsia="仿宋" w:cs="宋体"/>
          <w:kern w:val="0"/>
          <w:sz w:val="32"/>
          <w:szCs w:val="32"/>
          <w:lang w:val="en-US" w:eastAsia="zh-CN"/>
        </w:rPr>
        <w:t>9063</w:t>
      </w:r>
      <w:r>
        <w:rPr>
          <w:rFonts w:hint="eastAsia" w:ascii="仿宋" w:hAnsi="仿宋" w:eastAsia="仿宋" w:cs="宋体"/>
          <w:kern w:val="0"/>
          <w:sz w:val="32"/>
          <w:szCs w:val="32"/>
        </w:rPr>
        <w:t>件，结案率</w:t>
      </w:r>
      <w:r>
        <w:rPr>
          <w:rFonts w:hint="eastAsia" w:ascii="仿宋" w:hAnsi="仿宋" w:eastAsia="仿宋" w:cs="宋体"/>
          <w:kern w:val="0"/>
          <w:sz w:val="32"/>
          <w:szCs w:val="32"/>
          <w:lang w:val="en-US" w:eastAsia="zh-CN"/>
        </w:rPr>
        <w:t>84.76%</w:t>
      </w:r>
      <w:r>
        <w:rPr>
          <w:rFonts w:hint="eastAsia" w:ascii="仿宋" w:hAnsi="仿宋" w:eastAsia="仿宋" w:cs="宋体"/>
          <w:kern w:val="0"/>
          <w:sz w:val="32"/>
          <w:szCs w:val="32"/>
        </w:rPr>
        <w:t>，人均收案数</w:t>
      </w:r>
      <w:r>
        <w:rPr>
          <w:rFonts w:hint="eastAsia" w:ascii="仿宋" w:hAnsi="仿宋" w:eastAsia="仿宋" w:cs="宋体"/>
          <w:kern w:val="0"/>
          <w:sz w:val="32"/>
          <w:szCs w:val="32"/>
          <w:lang w:val="en-US" w:eastAsia="zh-CN"/>
        </w:rPr>
        <w:t>232.43</w:t>
      </w:r>
      <w:r>
        <w:rPr>
          <w:rFonts w:hint="eastAsia" w:ascii="仿宋" w:hAnsi="仿宋" w:eastAsia="仿宋" w:cs="宋体"/>
          <w:kern w:val="0"/>
          <w:sz w:val="32"/>
          <w:szCs w:val="32"/>
        </w:rPr>
        <w:t>件、结案数</w:t>
      </w:r>
      <w:r>
        <w:rPr>
          <w:rFonts w:hint="eastAsia" w:ascii="仿宋" w:hAnsi="仿宋" w:eastAsia="仿宋" w:cs="宋体"/>
          <w:kern w:val="0"/>
          <w:sz w:val="32"/>
          <w:szCs w:val="32"/>
          <w:lang w:val="en-US" w:eastAsia="zh-CN"/>
        </w:rPr>
        <w:t>197.02</w:t>
      </w:r>
      <w:r>
        <w:rPr>
          <w:rFonts w:hint="eastAsia" w:ascii="仿宋" w:hAnsi="仿宋" w:eastAsia="仿宋" w:cs="宋体"/>
          <w:kern w:val="0"/>
          <w:sz w:val="32"/>
          <w:szCs w:val="32"/>
        </w:rPr>
        <w:t>件。</w:t>
      </w:r>
    </w:p>
    <w:p>
      <w:pPr>
        <w:widowControl/>
        <w:ind w:firstLine="643" w:firstLineChars="200"/>
        <w:rPr>
          <w:rFonts w:ascii="仿宋" w:hAnsi="仿宋" w:eastAsia="仿宋" w:cs="宋体"/>
          <w:kern w:val="0"/>
          <w:sz w:val="32"/>
          <w:szCs w:val="32"/>
        </w:rPr>
      </w:pPr>
      <w:r>
        <w:rPr>
          <w:rFonts w:hint="eastAsia" w:ascii="楷体" w:hAnsi="楷体" w:eastAsia="楷体" w:cs="楷体"/>
          <w:b/>
          <w:bCs/>
          <w:kern w:val="0"/>
          <w:sz w:val="32"/>
          <w:szCs w:val="32"/>
        </w:rPr>
        <w:t>严厉惩治刑事犯罪。</w:t>
      </w:r>
      <w:r>
        <w:rPr>
          <w:rFonts w:hint="eastAsia" w:ascii="仿宋" w:hAnsi="仿宋" w:eastAsia="仿宋" w:cs="宋体"/>
          <w:kern w:val="0"/>
          <w:sz w:val="32"/>
          <w:szCs w:val="32"/>
        </w:rPr>
        <w:t>共受理刑事案件</w:t>
      </w:r>
      <w:r>
        <w:rPr>
          <w:rFonts w:hint="eastAsia" w:ascii="仿宋" w:hAnsi="仿宋" w:eastAsia="仿宋" w:cs="宋体"/>
          <w:kern w:val="0"/>
          <w:sz w:val="32"/>
          <w:szCs w:val="32"/>
          <w:lang w:val="en-US" w:eastAsia="zh-CN"/>
        </w:rPr>
        <w:t>602</w:t>
      </w:r>
      <w:r>
        <w:rPr>
          <w:rFonts w:hint="eastAsia" w:ascii="仿宋" w:hAnsi="仿宋" w:eastAsia="仿宋" w:cs="宋体"/>
          <w:kern w:val="0"/>
          <w:sz w:val="32"/>
          <w:szCs w:val="32"/>
        </w:rPr>
        <w:t>件，审结</w:t>
      </w:r>
      <w:r>
        <w:rPr>
          <w:rFonts w:hint="eastAsia" w:ascii="仿宋" w:hAnsi="仿宋" w:eastAsia="仿宋" w:cs="宋体"/>
          <w:kern w:val="0"/>
          <w:sz w:val="32"/>
          <w:szCs w:val="32"/>
          <w:lang w:val="en-US" w:eastAsia="zh-CN"/>
        </w:rPr>
        <w:t>561</w:t>
      </w:r>
      <w:r>
        <w:rPr>
          <w:rFonts w:hint="eastAsia" w:ascii="仿宋" w:hAnsi="仿宋" w:eastAsia="仿宋" w:cs="宋体"/>
          <w:kern w:val="0"/>
          <w:sz w:val="32"/>
          <w:szCs w:val="32"/>
        </w:rPr>
        <w:t>件，结案率</w:t>
      </w:r>
      <w:r>
        <w:rPr>
          <w:rFonts w:hint="eastAsia" w:ascii="仿宋" w:hAnsi="仿宋" w:eastAsia="仿宋" w:cs="宋体"/>
          <w:kern w:val="0"/>
          <w:sz w:val="32"/>
          <w:szCs w:val="32"/>
          <w:lang w:val="en-US" w:eastAsia="zh-CN"/>
        </w:rPr>
        <w:t>93.19%</w:t>
      </w:r>
      <w:r>
        <w:rPr>
          <w:rFonts w:hint="eastAsia" w:ascii="仿宋" w:hAnsi="仿宋" w:eastAsia="仿宋" w:cs="宋体"/>
          <w:kern w:val="0"/>
          <w:sz w:val="32"/>
          <w:szCs w:val="32"/>
        </w:rPr>
        <w:t>。始终保持惩治犯罪高压态势，依法惩治盗窃、故意伤害等多发犯罪；加强非法吸收公众存款、非法集资等影响社会经济良性发展犯罪打击力度；严厉惩治“法轮功”邪教组织犯罪，在区政法委统筹及周密部署下，顺利审结姚某、杨某等13人“法轮功”邪教组织犯罪</w:t>
      </w:r>
      <w:r>
        <w:rPr>
          <w:rFonts w:hint="eastAsia" w:ascii="仿宋" w:hAnsi="仿宋" w:eastAsia="仿宋" w:cs="宋体"/>
          <w:kern w:val="0"/>
          <w:sz w:val="32"/>
          <w:szCs w:val="32"/>
          <w:lang w:eastAsia="zh-CN"/>
        </w:rPr>
        <w:t>案件</w:t>
      </w:r>
      <w:r>
        <w:rPr>
          <w:rFonts w:hint="eastAsia" w:ascii="仿宋" w:hAnsi="仿宋" w:eastAsia="仿宋" w:cs="宋体"/>
          <w:kern w:val="0"/>
          <w:sz w:val="32"/>
          <w:szCs w:val="32"/>
        </w:rPr>
        <w:t>；努力推进以审判为中心的刑事诉讼制度改革，邀请省市政法机关领导及人大代表、政协委员等人观摩敲诈勒索罪、盗窃罪案件庭审，以司法公开促进司法公正，树立司法权威。</w:t>
      </w:r>
    </w:p>
    <w:p>
      <w:pPr>
        <w:widowControl/>
        <w:ind w:firstLine="643" w:firstLineChars="200"/>
        <w:rPr>
          <w:rFonts w:ascii="仿宋" w:hAnsi="仿宋" w:eastAsia="仿宋"/>
          <w:sz w:val="32"/>
          <w:szCs w:val="32"/>
        </w:rPr>
      </w:pPr>
      <w:r>
        <w:rPr>
          <w:rFonts w:hint="eastAsia" w:ascii="楷体" w:hAnsi="楷体" w:eastAsia="楷体" w:cs="楷体"/>
          <w:b/>
          <w:bCs/>
          <w:sz w:val="32"/>
          <w:szCs w:val="32"/>
        </w:rPr>
        <w:t>妥善化解民商事纠纷</w:t>
      </w:r>
      <w:r>
        <w:rPr>
          <w:rFonts w:hint="eastAsia" w:ascii="仿宋" w:hAnsi="仿宋" w:eastAsia="仿宋"/>
          <w:b/>
          <w:bCs/>
          <w:sz w:val="32"/>
          <w:szCs w:val="32"/>
        </w:rPr>
        <w:t>。</w:t>
      </w:r>
      <w:r>
        <w:rPr>
          <w:rFonts w:hint="eastAsia" w:ascii="仿宋" w:hAnsi="仿宋" w:eastAsia="仿宋" w:cs="宋体"/>
          <w:kern w:val="0"/>
          <w:sz w:val="32"/>
          <w:szCs w:val="32"/>
        </w:rPr>
        <w:t>共受理各类民商事案件</w:t>
      </w:r>
      <w:r>
        <w:rPr>
          <w:rFonts w:hint="eastAsia" w:ascii="仿宋" w:hAnsi="仿宋" w:eastAsia="仿宋" w:cs="宋体"/>
          <w:kern w:val="0"/>
          <w:sz w:val="32"/>
          <w:szCs w:val="32"/>
          <w:lang w:val="en-US" w:eastAsia="zh-CN"/>
        </w:rPr>
        <w:t>4961</w:t>
      </w:r>
      <w:r>
        <w:rPr>
          <w:rFonts w:hint="eastAsia" w:ascii="仿宋" w:hAnsi="仿宋" w:eastAsia="仿宋" w:cs="宋体"/>
          <w:kern w:val="0"/>
          <w:sz w:val="32"/>
          <w:szCs w:val="32"/>
        </w:rPr>
        <w:t>件，审结</w:t>
      </w:r>
      <w:r>
        <w:rPr>
          <w:rFonts w:hint="eastAsia" w:ascii="仿宋" w:hAnsi="仿宋" w:eastAsia="仿宋" w:cs="宋体"/>
          <w:kern w:val="0"/>
          <w:sz w:val="32"/>
          <w:szCs w:val="32"/>
          <w:lang w:val="en-US" w:eastAsia="zh-CN"/>
        </w:rPr>
        <w:t>4268</w:t>
      </w:r>
      <w:r>
        <w:rPr>
          <w:rFonts w:hint="eastAsia" w:ascii="仿宋" w:hAnsi="仿宋" w:eastAsia="仿宋" w:cs="宋体"/>
          <w:kern w:val="0"/>
          <w:sz w:val="32"/>
          <w:szCs w:val="32"/>
        </w:rPr>
        <w:t>件，结案率</w:t>
      </w:r>
      <w:r>
        <w:rPr>
          <w:rFonts w:hint="eastAsia" w:ascii="仿宋" w:hAnsi="仿宋" w:eastAsia="仿宋" w:cs="宋体"/>
          <w:kern w:val="0"/>
          <w:sz w:val="32"/>
          <w:szCs w:val="32"/>
          <w:lang w:val="en-US" w:eastAsia="zh-CN"/>
        </w:rPr>
        <w:t>86.03%</w:t>
      </w:r>
      <w:r>
        <w:rPr>
          <w:rFonts w:hint="eastAsia" w:ascii="仿宋" w:hAnsi="仿宋" w:eastAsia="仿宋" w:cs="宋体"/>
          <w:kern w:val="0"/>
          <w:sz w:val="32"/>
          <w:szCs w:val="32"/>
        </w:rPr>
        <w:t>。始终把案结事了作为民事审判最高追求，</w:t>
      </w:r>
      <w:r>
        <w:rPr>
          <w:rFonts w:hint="eastAsia" w:ascii="仿宋" w:hAnsi="仿宋" w:eastAsia="仿宋"/>
          <w:sz w:val="32"/>
          <w:szCs w:val="32"/>
        </w:rPr>
        <w:t>全面建立绿色通道，对涉及百姓及弱势群体切身利益的案件，实现快立案、快审理、快结案，同时着重实行调解，降低当事人诉讼成本，注重实质正义，成功调解案件</w:t>
      </w:r>
      <w:r>
        <w:rPr>
          <w:rFonts w:hint="eastAsia" w:ascii="仿宋" w:hAnsi="仿宋" w:eastAsia="仿宋"/>
          <w:sz w:val="32"/>
          <w:szCs w:val="32"/>
          <w:lang w:val="en-US" w:eastAsia="zh-CN"/>
        </w:rPr>
        <w:t>660</w:t>
      </w:r>
      <w:r>
        <w:rPr>
          <w:rFonts w:hint="eastAsia" w:ascii="仿宋" w:hAnsi="仿宋" w:eastAsia="仿宋"/>
          <w:sz w:val="32"/>
          <w:szCs w:val="32"/>
        </w:rPr>
        <w:t>件，妥善调解60户购房人与</w:t>
      </w:r>
      <w:r>
        <w:rPr>
          <w:rFonts w:hint="eastAsia" w:ascii="仿宋_GB2312" w:eastAsia="仿宋_GB2312"/>
          <w:sz w:val="32"/>
          <w:szCs w:val="32"/>
        </w:rPr>
        <w:t>某房地产房屋买卖合同纠纷系列案；</w:t>
      </w:r>
      <w:r>
        <w:rPr>
          <w:rFonts w:hint="eastAsia" w:ascii="仿宋" w:hAnsi="仿宋" w:eastAsia="仿宋" w:cs="仿宋"/>
          <w:sz w:val="32"/>
          <w:szCs w:val="32"/>
        </w:rPr>
        <w:t>全面推行院庭长办案责任制，6名入额院领导审结案件</w:t>
      </w:r>
      <w:r>
        <w:rPr>
          <w:rFonts w:hint="eastAsia" w:ascii="仿宋" w:hAnsi="仿宋" w:eastAsia="仿宋" w:cs="仿宋"/>
          <w:sz w:val="32"/>
          <w:szCs w:val="32"/>
          <w:lang w:val="en-US" w:eastAsia="zh-CN"/>
        </w:rPr>
        <w:t>524</w:t>
      </w:r>
      <w:r>
        <w:rPr>
          <w:rFonts w:hint="eastAsia" w:ascii="仿宋" w:hAnsi="仿宋" w:eastAsia="仿宋" w:cs="仿宋"/>
          <w:sz w:val="32"/>
          <w:szCs w:val="32"/>
        </w:rPr>
        <w:t>件，位全地区基层院之首；</w:t>
      </w:r>
      <w:r>
        <w:rPr>
          <w:rFonts w:hint="eastAsia" w:ascii="仿宋" w:hAnsi="仿宋" w:eastAsia="仿宋"/>
          <w:sz w:val="32"/>
          <w:szCs w:val="32"/>
        </w:rPr>
        <w:t>组建金融案件审判团队，全年高效审结金融案件</w:t>
      </w:r>
      <w:r>
        <w:rPr>
          <w:rFonts w:hint="eastAsia" w:ascii="仿宋" w:hAnsi="仿宋" w:eastAsia="仿宋"/>
          <w:sz w:val="32"/>
          <w:szCs w:val="32"/>
          <w:lang w:val="en-US" w:eastAsia="zh-CN"/>
        </w:rPr>
        <w:t>1089</w:t>
      </w:r>
      <w:r>
        <w:rPr>
          <w:rFonts w:hint="eastAsia" w:ascii="仿宋" w:hAnsi="仿宋" w:eastAsia="仿宋"/>
          <w:sz w:val="32"/>
          <w:szCs w:val="32"/>
        </w:rPr>
        <w:t>件，组织辖区银行召开金融案件研讨会，指导银行等金融企业完善合同条款，助力债权实现，该做法被省高院在全省推广；注重案件繁简分流，在审理医疗损害赔偿案件过程中设置问询前置程序，有无争议区分处理，简案快办、繁案精审。</w:t>
      </w:r>
    </w:p>
    <w:p>
      <w:pPr>
        <w:ind w:firstLine="803" w:firstLineChars="250"/>
        <w:rPr>
          <w:rFonts w:ascii="仿宋" w:hAnsi="仿宋" w:eastAsia="仿宋"/>
          <w:sz w:val="32"/>
          <w:szCs w:val="32"/>
        </w:rPr>
      </w:pPr>
      <w:r>
        <w:rPr>
          <w:rFonts w:hint="eastAsia" w:ascii="楷体" w:hAnsi="楷体" w:eastAsia="楷体" w:cs="楷体"/>
          <w:b/>
          <w:bCs/>
          <w:sz w:val="32"/>
          <w:szCs w:val="32"/>
        </w:rPr>
        <w:t>不断延伸行政审判职能</w:t>
      </w:r>
      <w:r>
        <w:rPr>
          <w:rFonts w:hint="eastAsia" w:ascii="仿宋" w:hAnsi="仿宋" w:eastAsia="仿宋"/>
          <w:b/>
          <w:bCs/>
          <w:sz w:val="32"/>
          <w:szCs w:val="32"/>
        </w:rPr>
        <w:t>。</w:t>
      </w:r>
      <w:r>
        <w:rPr>
          <w:rFonts w:hint="eastAsia" w:ascii="仿宋" w:hAnsi="仿宋" w:eastAsia="仿宋"/>
          <w:sz w:val="32"/>
          <w:szCs w:val="32"/>
        </w:rPr>
        <w:t>共受理行政案件</w:t>
      </w:r>
      <w:r>
        <w:rPr>
          <w:rFonts w:hint="eastAsia" w:ascii="仿宋" w:hAnsi="仿宋" w:eastAsia="仿宋"/>
          <w:sz w:val="32"/>
          <w:szCs w:val="32"/>
          <w:lang w:val="en-US" w:eastAsia="zh-CN"/>
        </w:rPr>
        <w:t>275</w:t>
      </w:r>
      <w:r>
        <w:rPr>
          <w:rFonts w:hint="eastAsia" w:ascii="仿宋" w:hAnsi="仿宋" w:eastAsia="仿宋"/>
          <w:sz w:val="32"/>
          <w:szCs w:val="32"/>
        </w:rPr>
        <w:t>件，审结</w:t>
      </w:r>
      <w:r>
        <w:rPr>
          <w:rFonts w:hint="eastAsia" w:ascii="仿宋" w:hAnsi="仿宋" w:eastAsia="仿宋"/>
          <w:sz w:val="32"/>
          <w:szCs w:val="32"/>
          <w:lang w:val="en-US" w:eastAsia="zh-CN"/>
        </w:rPr>
        <w:t>233</w:t>
      </w:r>
      <w:r>
        <w:rPr>
          <w:rFonts w:hint="eastAsia" w:ascii="仿宋" w:hAnsi="仿宋" w:eastAsia="仿宋"/>
          <w:sz w:val="32"/>
          <w:szCs w:val="32"/>
        </w:rPr>
        <w:t>件，结案率</w:t>
      </w:r>
      <w:r>
        <w:rPr>
          <w:rFonts w:hint="eastAsia" w:ascii="仿宋" w:hAnsi="仿宋" w:eastAsia="仿宋"/>
          <w:sz w:val="32"/>
          <w:szCs w:val="32"/>
          <w:lang w:val="en-US" w:eastAsia="zh-CN"/>
        </w:rPr>
        <w:t>84.73%</w:t>
      </w:r>
      <w:r>
        <w:rPr>
          <w:rFonts w:hint="eastAsia" w:ascii="仿宋" w:hAnsi="仿宋" w:eastAsia="仿宋"/>
          <w:sz w:val="32"/>
          <w:szCs w:val="32"/>
        </w:rPr>
        <w:t>。针对工伤认定、登记许可、治安处罚等执法标准与相关单位多次交流，统一法律认识；针对行政执法中怠于履行法定职责、执法程序不规范、适用法律错误等问题，及时发送司法建议；针对审判中暴露的普遍问题，为行政机关开展行政法讲座，受到行政机关欢迎；积极推动行政首长出庭制，90%的行政机关部门负责人及经办人员参加庭审，有效促进执法规范化。</w:t>
      </w:r>
    </w:p>
    <w:p>
      <w:pPr>
        <w:ind w:firstLine="803" w:firstLineChars="250"/>
        <w:rPr>
          <w:rFonts w:ascii="仿宋" w:hAnsi="仿宋" w:eastAsia="仿宋" w:cs="宋体"/>
          <w:sz w:val="32"/>
          <w:szCs w:val="32"/>
        </w:rPr>
      </w:pPr>
      <w:r>
        <w:rPr>
          <w:rFonts w:hint="eastAsia" w:ascii="楷体" w:hAnsi="楷体" w:eastAsia="楷体" w:cs="楷体"/>
          <w:b/>
          <w:bCs/>
          <w:sz w:val="32"/>
          <w:szCs w:val="32"/>
        </w:rPr>
        <w:t>提升信访维稳工作水平。</w:t>
      </w:r>
      <w:r>
        <w:rPr>
          <w:rFonts w:hint="eastAsia" w:ascii="仿宋" w:hAnsi="仿宋" w:eastAsia="仿宋" w:cs="宋体"/>
          <w:sz w:val="32"/>
          <w:szCs w:val="32"/>
        </w:rPr>
        <w:t>信访接待窗口共接待来访</w:t>
      </w:r>
      <w:r>
        <w:rPr>
          <w:rFonts w:hint="eastAsia" w:ascii="仿宋" w:hAnsi="仿宋" w:eastAsia="仿宋" w:cs="宋体"/>
          <w:sz w:val="32"/>
          <w:szCs w:val="32"/>
          <w:lang w:val="en-US" w:eastAsia="zh-CN"/>
        </w:rPr>
        <w:t>1050</w:t>
      </w:r>
      <w:r>
        <w:rPr>
          <w:rFonts w:hint="eastAsia" w:ascii="仿宋" w:hAnsi="仿宋" w:eastAsia="仿宋" w:cs="宋体"/>
          <w:sz w:val="32"/>
          <w:szCs w:val="32"/>
        </w:rPr>
        <w:t>余人次；坚持院领导接访常态化，全年累计接访</w:t>
      </w:r>
      <w:r>
        <w:rPr>
          <w:rFonts w:hint="eastAsia" w:ascii="仿宋" w:hAnsi="仿宋" w:eastAsia="仿宋" w:cs="宋体"/>
          <w:sz w:val="32"/>
          <w:szCs w:val="32"/>
          <w:lang w:val="en-US" w:eastAsia="zh-CN"/>
        </w:rPr>
        <w:t>320</w:t>
      </w:r>
      <w:r>
        <w:rPr>
          <w:rFonts w:hint="eastAsia" w:ascii="仿宋" w:hAnsi="仿宋" w:eastAsia="仿宋" w:cs="宋体"/>
          <w:sz w:val="32"/>
          <w:szCs w:val="32"/>
        </w:rPr>
        <w:t>余人次；</w:t>
      </w:r>
      <w:r>
        <w:rPr>
          <w:rFonts w:hint="eastAsia" w:ascii="仿宋" w:hAnsi="仿宋" w:eastAsia="仿宋" w:cs="宋体"/>
          <w:bCs/>
          <w:sz w:val="32"/>
          <w:szCs w:val="32"/>
        </w:rPr>
        <w:t>全年成功化解多年信访骨头积案</w:t>
      </w:r>
      <w:r>
        <w:rPr>
          <w:rFonts w:hint="eastAsia" w:ascii="仿宋" w:hAnsi="仿宋" w:eastAsia="仿宋" w:cs="宋体"/>
          <w:bCs/>
          <w:sz w:val="32"/>
          <w:szCs w:val="32"/>
          <w:lang w:val="en-US" w:eastAsia="zh-CN"/>
        </w:rPr>
        <w:t>4</w:t>
      </w:r>
      <w:r>
        <w:rPr>
          <w:rFonts w:hint="eastAsia" w:ascii="仿宋" w:hAnsi="仿宋" w:eastAsia="仿宋" w:cs="宋体"/>
          <w:bCs/>
          <w:sz w:val="32"/>
          <w:szCs w:val="32"/>
        </w:rPr>
        <w:t>件</w:t>
      </w:r>
      <w:r>
        <w:rPr>
          <w:rFonts w:hint="eastAsia" w:ascii="仿宋" w:hAnsi="仿宋" w:eastAsia="仿宋" w:cs="宋体"/>
          <w:bCs/>
          <w:sz w:val="32"/>
          <w:szCs w:val="32"/>
          <w:lang w:eastAsia="zh-CN"/>
        </w:rPr>
        <w:t>；争取省市法院信访资金救助</w:t>
      </w:r>
      <w:r>
        <w:rPr>
          <w:rFonts w:hint="eastAsia" w:ascii="仿宋" w:hAnsi="仿宋" w:eastAsia="仿宋" w:cs="宋体"/>
          <w:bCs/>
          <w:sz w:val="32"/>
          <w:szCs w:val="32"/>
          <w:lang w:val="en-US" w:eastAsia="zh-CN"/>
        </w:rPr>
        <w:t>167.67</w:t>
      </w:r>
      <w:r>
        <w:rPr>
          <w:rFonts w:hint="eastAsia" w:ascii="仿宋" w:hAnsi="仿宋" w:eastAsia="仿宋" w:cs="宋体"/>
          <w:bCs/>
          <w:sz w:val="32"/>
          <w:szCs w:val="32"/>
          <w:lang w:eastAsia="zh-CN"/>
        </w:rPr>
        <w:t>万元，通过司法救助方式息访</w:t>
      </w:r>
      <w:r>
        <w:rPr>
          <w:rFonts w:hint="eastAsia" w:ascii="仿宋" w:hAnsi="仿宋" w:eastAsia="仿宋" w:cs="宋体"/>
          <w:bCs/>
          <w:sz w:val="32"/>
          <w:szCs w:val="32"/>
          <w:lang w:val="en-US" w:eastAsia="zh-CN"/>
        </w:rPr>
        <w:t>75件。</w:t>
      </w:r>
      <w:r>
        <w:rPr>
          <w:rFonts w:hint="eastAsia" w:ascii="仿宋" w:hAnsi="仿宋" w:eastAsia="仿宋" w:cs="宋体"/>
          <w:bCs/>
          <w:sz w:val="32"/>
          <w:szCs w:val="32"/>
        </w:rPr>
        <w:t>在区委区政府鼎力支持下，二十余人集体访彻底息访。派业务骨干常驻北京、沈阳越级访最前沿，接待劝返。</w:t>
      </w:r>
      <w:r>
        <w:rPr>
          <w:rFonts w:hint="eastAsia" w:ascii="仿宋" w:hAnsi="仿宋" w:eastAsia="仿宋" w:cs="宋体"/>
          <w:sz w:val="32"/>
          <w:szCs w:val="32"/>
        </w:rPr>
        <w:t>完成“全国两会”信访值勤及省、市两会会场信访值勤工作，实现“非访零登记”目标。</w:t>
      </w:r>
    </w:p>
    <w:p>
      <w:pPr>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三、着眼服务，彰显司法担当</w:t>
      </w:r>
    </w:p>
    <w:p>
      <w:pPr>
        <w:pStyle w:val="8"/>
        <w:spacing w:line="560" w:lineRule="exact"/>
        <w:ind w:firstLine="643"/>
        <w:jc w:val="left"/>
        <w:rPr>
          <w:rFonts w:ascii="仿宋" w:hAnsi="仿宋" w:eastAsia="仿宋_GB2312"/>
          <w:sz w:val="32"/>
          <w:szCs w:val="32"/>
        </w:rPr>
      </w:pPr>
      <w:r>
        <w:rPr>
          <w:rFonts w:hint="eastAsia" w:ascii="楷体" w:hAnsi="楷体" w:eastAsia="楷体" w:cs="楷体"/>
          <w:b/>
          <w:bCs/>
          <w:sz w:val="32"/>
          <w:szCs w:val="32"/>
        </w:rPr>
        <w:t>全力保障重点项目建设。</w:t>
      </w:r>
      <w:r>
        <w:rPr>
          <w:rFonts w:hint="eastAsia" w:ascii="仿宋" w:hAnsi="仿宋" w:eastAsia="仿宋" w:cs="仿宋"/>
          <w:sz w:val="32"/>
          <w:szCs w:val="32"/>
        </w:rPr>
        <w:t>为推动我区高质量发展，</w:t>
      </w:r>
      <w:r>
        <w:rPr>
          <w:rFonts w:hint="eastAsia" w:ascii="仿宋" w:hAnsi="仿宋" w:eastAsia="仿宋"/>
          <w:sz w:val="32"/>
          <w:szCs w:val="32"/>
        </w:rPr>
        <w:t>充分发挥司法能动作用，多次跟随政府职能部门进行实地调研，现场提供相应法律建议，同时对拆迁户巧打“政策法规牌”和“情理感动牌”，耐心讲解拆迁补偿的法规政策，协调有关部门帮助解决具体困难，逐步打消其抵触和对抗情绪，全年共141件涉经济建设和百姓民生的骨头案件得到集中解决。上半年，对省文化活动中心强迁案，区法院打破传统审判模式，审查裁定先予执行，区委、区政府协同公安、消防、行政执法等部门开展大型联合执行行动，被执行人韩某激烈抗法，在屋内砌起用于对峙的书墙，并在书墙和自己身上洒满汽油，在其点燃</w:t>
      </w:r>
      <w:r>
        <w:rPr>
          <w:rFonts w:hint="eastAsia" w:ascii="仿宋" w:hAnsi="仿宋" w:eastAsia="仿宋"/>
          <w:sz w:val="32"/>
          <w:szCs w:val="32"/>
          <w:lang w:eastAsia="zh-CN"/>
        </w:rPr>
        <w:t>打</w:t>
      </w:r>
      <w:r>
        <w:rPr>
          <w:rFonts w:hint="eastAsia" w:ascii="仿宋" w:hAnsi="仿宋" w:eastAsia="仿宋"/>
          <w:sz w:val="32"/>
          <w:szCs w:val="32"/>
        </w:rPr>
        <w:t>火机的一刹那，分管副院长吴晓波带领拘捕组干警迅速反应、果断处置，与消防官兵配合，一举制服负隅顽抗的韩某，防止事态恶化，顺利腾迁全省重点建设项目。吴晓波副院长因临危不惧、处置得当，由市中院向省高院申报个人二等功，他的事迹在《我是长春人》电视栏目中播出</w:t>
      </w:r>
      <w:r>
        <w:rPr>
          <w:rFonts w:hint="eastAsia" w:ascii="仿宋" w:hAnsi="仿宋" w:eastAsia="仿宋"/>
          <w:sz w:val="32"/>
          <w:szCs w:val="32"/>
          <w:lang w:eastAsia="zh-CN"/>
        </w:rPr>
        <w:t>，</w:t>
      </w:r>
      <w:r>
        <w:rPr>
          <w:rFonts w:hint="eastAsia" w:ascii="仿宋" w:hAnsi="仿宋" w:eastAsia="仿宋"/>
          <w:sz w:val="32"/>
          <w:szCs w:val="32"/>
        </w:rPr>
        <w:t>此次行动也被</w:t>
      </w:r>
      <w:r>
        <w:rPr>
          <w:rFonts w:hint="eastAsia" w:ascii="仿宋" w:hAnsi="仿宋" w:eastAsia="仿宋"/>
          <w:sz w:val="32"/>
          <w:szCs w:val="32"/>
          <w:lang w:eastAsia="zh-CN"/>
        </w:rPr>
        <w:t>全国</w:t>
      </w:r>
      <w:r>
        <w:rPr>
          <w:rFonts w:hint="eastAsia" w:ascii="仿宋" w:hAnsi="仿宋" w:eastAsia="仿宋"/>
          <w:sz w:val="32"/>
          <w:szCs w:val="32"/>
        </w:rPr>
        <w:t>各大媒体多次报道。年初，区法院被评为区“</w:t>
      </w:r>
      <w:r>
        <w:rPr>
          <w:rFonts w:hint="eastAsia" w:ascii="仿宋_GB2312" w:hAnsi="黑体" w:eastAsia="仿宋_GB2312"/>
          <w:sz w:val="32"/>
          <w:szCs w:val="32"/>
        </w:rPr>
        <w:t>城市建设管理工作先进单位</w:t>
      </w:r>
      <w:r>
        <w:rPr>
          <w:rFonts w:hint="eastAsia" w:ascii="仿宋" w:hAnsi="仿宋" w:eastAsia="仿宋"/>
          <w:sz w:val="32"/>
          <w:szCs w:val="32"/>
        </w:rPr>
        <w:t>”</w:t>
      </w:r>
      <w:r>
        <w:rPr>
          <w:rFonts w:hint="eastAsia" w:ascii="仿宋_GB2312" w:hAnsi="黑体" w:eastAsia="仿宋_GB2312"/>
          <w:sz w:val="32"/>
          <w:szCs w:val="32"/>
        </w:rPr>
        <w:t>，2人被授予区“城市建设管理工作先进个人”</w:t>
      </w:r>
      <w:r>
        <w:rPr>
          <w:rFonts w:hint="eastAsia" w:ascii="仿宋_GB2312" w:hAnsi="黑体" w:eastAsia="仿宋_GB2312"/>
          <w:sz w:val="32"/>
          <w:szCs w:val="32"/>
          <w:lang w:eastAsia="zh-CN"/>
        </w:rPr>
        <w:t>荣誉</w:t>
      </w:r>
      <w:r>
        <w:rPr>
          <w:rFonts w:hint="eastAsia" w:ascii="仿宋_GB2312" w:hAnsi="黑体" w:eastAsia="仿宋_GB2312"/>
          <w:sz w:val="32"/>
          <w:szCs w:val="32"/>
        </w:rPr>
        <w:t>称号。</w:t>
      </w:r>
    </w:p>
    <w:p>
      <w:pPr>
        <w:widowControl/>
        <w:adjustRightInd w:val="0"/>
        <w:ind w:firstLine="643" w:firstLineChars="200"/>
        <w:rPr>
          <w:rFonts w:ascii="仿宋" w:hAnsi="仿宋" w:eastAsia="仿宋" w:cs="宋体"/>
          <w:kern w:val="0"/>
          <w:sz w:val="32"/>
          <w:szCs w:val="32"/>
        </w:rPr>
      </w:pPr>
      <w:r>
        <w:rPr>
          <w:rFonts w:hint="eastAsia" w:ascii="楷体" w:hAnsi="楷体" w:eastAsia="楷体" w:cs="楷体"/>
          <w:b/>
          <w:bCs/>
          <w:sz w:val="32"/>
          <w:szCs w:val="32"/>
        </w:rPr>
        <w:t>稳步推进“法治南关”建设。</w:t>
      </w:r>
      <w:r>
        <w:rPr>
          <w:rFonts w:hint="eastAsia" w:ascii="仿宋" w:hAnsi="仿宋" w:eastAsia="仿宋" w:cs="仿宋"/>
          <w:sz w:val="32"/>
          <w:szCs w:val="32"/>
        </w:rPr>
        <w:t>落实“谁执法、谁普法”工作职责，连续4年</w:t>
      </w:r>
      <w:r>
        <w:rPr>
          <w:rFonts w:ascii="仿宋" w:hAnsi="仿宋" w:eastAsia="仿宋" w:cs="宋体"/>
          <w:kern w:val="0"/>
          <w:sz w:val="32"/>
          <w:szCs w:val="32"/>
        </w:rPr>
        <w:t>为社区赠送普法光盘</w:t>
      </w:r>
      <w:r>
        <w:rPr>
          <w:rFonts w:hint="eastAsia" w:ascii="仿宋" w:hAnsi="仿宋" w:eastAsia="仿宋" w:cs="宋体"/>
          <w:kern w:val="0"/>
          <w:sz w:val="32"/>
          <w:szCs w:val="32"/>
        </w:rPr>
        <w:t>及开展“情系花蕾”等帮扶慰问活动；开展</w:t>
      </w:r>
      <w:r>
        <w:rPr>
          <w:rFonts w:ascii="仿宋" w:hAnsi="仿宋" w:eastAsia="仿宋" w:cs="宋体"/>
          <w:kern w:val="0"/>
          <w:sz w:val="32"/>
          <w:szCs w:val="32"/>
        </w:rPr>
        <w:t>“法官进社区”法律讲座</w:t>
      </w:r>
      <w:r>
        <w:rPr>
          <w:rFonts w:hint="eastAsia" w:ascii="仿宋" w:hAnsi="仿宋" w:eastAsia="仿宋" w:cs="宋体"/>
          <w:kern w:val="0"/>
          <w:sz w:val="32"/>
          <w:szCs w:val="32"/>
        </w:rPr>
        <w:t>4</w:t>
      </w:r>
      <w:r>
        <w:rPr>
          <w:rFonts w:ascii="仿宋" w:hAnsi="仿宋" w:eastAsia="仿宋" w:cs="宋体"/>
          <w:kern w:val="0"/>
          <w:sz w:val="32"/>
          <w:szCs w:val="32"/>
        </w:rPr>
        <w:t>次</w:t>
      </w:r>
      <w:r>
        <w:rPr>
          <w:rFonts w:hint="eastAsia" w:ascii="仿宋" w:hAnsi="仿宋" w:eastAsia="仿宋" w:cs="宋体"/>
          <w:kern w:val="0"/>
          <w:sz w:val="32"/>
          <w:szCs w:val="32"/>
        </w:rPr>
        <w:t>；通过“南关法院”微信公众平台、官方新浪微博和执行微信公众平台，推送工作信息和典型案例126条；做客广播电台《889新说法》栏目直播普法；录制长春电视台</w:t>
      </w:r>
      <w:r>
        <w:rPr>
          <w:rFonts w:ascii="仿宋" w:hAnsi="仿宋" w:eastAsia="仿宋" w:cs="宋体"/>
          <w:kern w:val="0"/>
          <w:sz w:val="32"/>
          <w:szCs w:val="32"/>
        </w:rPr>
        <w:t>《百姓与法》</w:t>
      </w:r>
      <w:r>
        <w:rPr>
          <w:rFonts w:hint="eastAsia" w:ascii="仿宋" w:hAnsi="仿宋" w:eastAsia="仿宋" w:cs="宋体"/>
          <w:kern w:val="0"/>
          <w:sz w:val="32"/>
          <w:szCs w:val="32"/>
        </w:rPr>
        <w:t xml:space="preserve">节目3期。 </w:t>
      </w:r>
    </w:p>
    <w:p>
      <w:pPr>
        <w:widowControl/>
        <w:ind w:firstLine="643" w:firstLineChars="200"/>
        <w:rPr>
          <w:rFonts w:ascii="仿宋" w:hAnsi="仿宋" w:eastAsia="仿宋" w:cs="宋体"/>
          <w:kern w:val="0"/>
          <w:sz w:val="32"/>
          <w:szCs w:val="32"/>
        </w:rPr>
      </w:pPr>
      <w:r>
        <w:rPr>
          <w:rFonts w:hint="eastAsia" w:ascii="楷体" w:hAnsi="楷体" w:eastAsia="楷体" w:cs="楷体"/>
          <w:b/>
          <w:bCs/>
          <w:kern w:val="0"/>
          <w:sz w:val="32"/>
          <w:szCs w:val="32"/>
        </w:rPr>
        <w:t>加快推进智慧法院建设。</w:t>
      </w:r>
      <w:r>
        <w:rPr>
          <w:rFonts w:hint="eastAsia" w:ascii="仿宋" w:hAnsi="仿宋" w:eastAsia="仿宋" w:cs="宋体"/>
          <w:kern w:val="0"/>
          <w:sz w:val="32"/>
          <w:szCs w:val="32"/>
        </w:rPr>
        <w:t>紧紧围绕智慧法院“三全三化、四个服务”建设目标，突出便民利民，着力在信息化建设应用上下功夫，全年网上立案</w:t>
      </w:r>
      <w:r>
        <w:rPr>
          <w:rFonts w:hint="eastAsia" w:ascii="仿宋" w:hAnsi="仿宋" w:eastAsia="仿宋" w:cs="宋体"/>
          <w:kern w:val="0"/>
          <w:sz w:val="32"/>
          <w:szCs w:val="32"/>
          <w:lang w:val="en-US" w:eastAsia="zh-CN"/>
        </w:rPr>
        <w:t>6145</w:t>
      </w:r>
      <w:r>
        <w:rPr>
          <w:rFonts w:hint="eastAsia" w:ascii="仿宋" w:hAnsi="仿宋" w:eastAsia="仿宋" w:cs="宋体"/>
          <w:kern w:val="0"/>
          <w:sz w:val="32"/>
          <w:szCs w:val="32"/>
        </w:rPr>
        <w:t>件</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公布生效裁判文书</w:t>
      </w:r>
      <w:r>
        <w:rPr>
          <w:rFonts w:hint="eastAsia" w:ascii="仿宋" w:hAnsi="仿宋" w:eastAsia="仿宋" w:cs="宋体"/>
          <w:kern w:val="0"/>
          <w:sz w:val="32"/>
          <w:szCs w:val="32"/>
          <w:lang w:val="en-US" w:eastAsia="zh-CN"/>
        </w:rPr>
        <w:t>5900</w:t>
      </w:r>
      <w:r>
        <w:rPr>
          <w:rFonts w:hint="eastAsia" w:ascii="仿宋" w:hAnsi="仿宋" w:eastAsia="仿宋" w:cs="宋体"/>
          <w:kern w:val="0"/>
          <w:sz w:val="32"/>
          <w:szCs w:val="32"/>
        </w:rPr>
        <w:t>件，互联网直播庭审</w:t>
      </w:r>
      <w:r>
        <w:rPr>
          <w:rFonts w:hint="eastAsia" w:ascii="仿宋" w:hAnsi="仿宋" w:eastAsia="仿宋" w:cs="宋体"/>
          <w:kern w:val="0"/>
          <w:sz w:val="32"/>
          <w:szCs w:val="32"/>
          <w:lang w:val="en-US" w:eastAsia="zh-CN"/>
        </w:rPr>
        <w:t>1034</w:t>
      </w:r>
      <w:r>
        <w:rPr>
          <w:rFonts w:hint="eastAsia" w:ascii="仿宋" w:hAnsi="仿宋" w:eastAsia="仿宋" w:cs="宋体"/>
          <w:kern w:val="0"/>
          <w:sz w:val="32"/>
          <w:szCs w:val="32"/>
        </w:rPr>
        <w:t>次，真正让数据多跑路，让百姓少跑腿、少花钱、少受累。为妥善解决劳改医院病犯的提押、送押困难问题，首次成功利用微信视频连线完成寻衅滋事案庭审，案件当庭宣判，快审快结。加快电子卷宗随案同步生成系统的建设与应用，推动现代化信息技术与审判工作深度融合，为实现全流程网上办案奠定坚实基础。长春电视台正在筹备录制区法院关于智慧法院建设情况的宣传短片。</w:t>
      </w:r>
    </w:p>
    <w:p>
      <w:pPr>
        <w:ind w:firstLine="803" w:firstLineChars="250"/>
        <w:rPr>
          <w:rFonts w:ascii="黑体" w:hAnsi="黑体" w:eastAsia="黑体" w:cs="宋体"/>
          <w:b/>
          <w:kern w:val="0"/>
          <w:sz w:val="32"/>
          <w:szCs w:val="32"/>
        </w:rPr>
      </w:pPr>
      <w:r>
        <w:rPr>
          <w:rFonts w:hint="eastAsia" w:ascii="黑体" w:hAnsi="黑体" w:eastAsia="黑体" w:cs="宋体"/>
          <w:b/>
          <w:kern w:val="0"/>
          <w:sz w:val="32"/>
          <w:szCs w:val="32"/>
        </w:rPr>
        <w:t>四、正风肃纪，打造过硬法院队伍</w:t>
      </w:r>
    </w:p>
    <w:p>
      <w:pPr>
        <w:widowControl/>
        <w:ind w:firstLine="643" w:firstLineChars="200"/>
        <w:rPr>
          <w:rFonts w:ascii="仿宋" w:hAnsi="仿宋" w:eastAsia="仿宋" w:cs="宋体"/>
          <w:kern w:val="0"/>
          <w:sz w:val="32"/>
          <w:szCs w:val="32"/>
        </w:rPr>
      </w:pPr>
      <w:r>
        <w:rPr>
          <w:rFonts w:hint="eastAsia" w:ascii="楷体" w:hAnsi="楷体" w:eastAsia="楷体" w:cs="楷体"/>
          <w:b/>
          <w:bCs/>
          <w:kern w:val="0"/>
          <w:sz w:val="32"/>
          <w:szCs w:val="32"/>
        </w:rPr>
        <w:t>强化政治思想建设。</w:t>
      </w:r>
      <w:r>
        <w:rPr>
          <w:rFonts w:hint="eastAsia" w:ascii="仿宋" w:hAnsi="仿宋" w:eastAsia="仿宋" w:cs="宋体"/>
          <w:kern w:val="0"/>
          <w:sz w:val="32"/>
          <w:szCs w:val="32"/>
        </w:rPr>
        <w:t>紧紧围绕新时代党的建设总要求，深入学习贯彻习近平新时代中国特色社会主义思想和党的十九大精神，聚焦党建队建工作薄弱环节，认真开展“两学一做”常态化制度化教育、“不忘初心，牢记使命”主题教育和解放思想大讨论等活动，坚定不移推进全面从严治党、全面从严治院、全面从严治警。严格执行新形势下党内政治生活若干准则，认真落实“三会一课”、党组理论中心组学习、专题民主生活会等组织生活制度，组织生活质量有很大程度提高。在机关内网平台开设党建工作专栏，发布党建信息，参与鸿城街道“鸿立方”城市党建共同体服务品牌建设，注重打造一支讲政治、讲忠诚、讲廉洁、讲奉献的干部队伍，5名同志被市法院授予“优秀共产党员”。</w:t>
      </w:r>
    </w:p>
    <w:p>
      <w:pPr>
        <w:widowControl/>
        <w:ind w:firstLine="643" w:firstLineChars="200"/>
        <w:rPr>
          <w:rFonts w:ascii="仿宋" w:hAnsi="仿宋" w:eastAsia="仿宋" w:cs="宋体"/>
          <w:kern w:val="0"/>
          <w:sz w:val="32"/>
          <w:szCs w:val="32"/>
        </w:rPr>
      </w:pPr>
      <w:r>
        <w:rPr>
          <w:rFonts w:hint="eastAsia" w:ascii="楷体" w:hAnsi="楷体" w:eastAsia="楷体" w:cs="楷体"/>
          <w:b/>
          <w:bCs/>
          <w:kern w:val="0"/>
          <w:sz w:val="32"/>
          <w:szCs w:val="32"/>
        </w:rPr>
        <w:t>强化党风廉政建设。</w:t>
      </w:r>
      <w:r>
        <w:rPr>
          <w:rFonts w:hint="eastAsia" w:ascii="仿宋" w:hAnsi="仿宋" w:eastAsia="仿宋" w:cs="宋体"/>
          <w:kern w:val="0"/>
          <w:sz w:val="32"/>
          <w:szCs w:val="32"/>
        </w:rPr>
        <w:t>严格落实“一岗双责”责任制，扎实开展全省干部作风大整顿和省高院“吸取身边腐败案件教训，涵养风清气正政治生态”集中教育活动，查出党组班子和副处级以上领导干部“五弊”问题56条，科级干部“五弊”问题148条。坚持从严教育、从严管理、从严监督，连续4年开展全覆盖内部善意廉政谈话提醒制度，层层检查谈话台账，全年共开展各层级廉政谈话112次；党组成员轮流带队，对庭审规范、窗口接待、判后跟踪等环节“随时查、经常督、持续抓”，下发检查通报12期，全年未发生违法违纪案件。</w:t>
      </w:r>
    </w:p>
    <w:p>
      <w:pPr>
        <w:widowControl/>
        <w:adjustRightInd w:val="0"/>
        <w:ind w:firstLine="643" w:firstLineChars="200"/>
        <w:rPr>
          <w:rFonts w:ascii="仿宋" w:hAnsi="仿宋" w:eastAsia="仿宋" w:cs="宋体"/>
          <w:kern w:val="0"/>
          <w:sz w:val="32"/>
          <w:szCs w:val="32"/>
        </w:rPr>
      </w:pPr>
      <w:r>
        <w:rPr>
          <w:rFonts w:hint="eastAsia" w:ascii="楷体" w:hAnsi="楷体" w:eastAsia="楷体" w:cs="楷体"/>
          <w:b/>
          <w:bCs/>
          <w:kern w:val="0"/>
          <w:sz w:val="32"/>
          <w:szCs w:val="32"/>
        </w:rPr>
        <w:t>强化司法力量建设。</w:t>
      </w:r>
      <w:r>
        <w:rPr>
          <w:rFonts w:hint="eastAsia" w:ascii="仿宋" w:hAnsi="仿宋" w:eastAsia="仿宋" w:cs="宋体"/>
          <w:kern w:val="0"/>
          <w:sz w:val="32"/>
          <w:szCs w:val="32"/>
        </w:rPr>
        <w:t>组建由法官、法官助理和辅助人员构成的18个审判执行团队，补充员额法官</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人，补充司法行政空编4人，完成32名政法专项编制干警套改法官助理、书记员工作。在省法院统一组织安排下，完成了49名文职人员的招录和培训工作。配合区公安局、区司法局做好人民陪审员选任的有关工作。</w:t>
      </w:r>
      <w:r>
        <w:rPr>
          <w:rFonts w:hint="eastAsia" w:ascii="仿宋" w:hAnsi="仿宋" w:eastAsia="仿宋"/>
          <w:sz w:val="32"/>
          <w:szCs w:val="32"/>
        </w:rPr>
        <w:t>开展丰富多彩文体活动，成立志愿服务团队，涌现出多名“先进个人”</w:t>
      </w:r>
      <w:r>
        <w:rPr>
          <w:rFonts w:hint="eastAsia" w:ascii="仿宋" w:hAnsi="仿宋" w:eastAsia="仿宋"/>
          <w:sz w:val="32"/>
          <w:szCs w:val="32"/>
          <w:lang w:eastAsia="zh-CN"/>
        </w:rPr>
        <w:t>、</w:t>
      </w:r>
      <w:r>
        <w:rPr>
          <w:rFonts w:hint="eastAsia" w:ascii="仿宋" w:hAnsi="仿宋" w:eastAsia="仿宋"/>
          <w:sz w:val="32"/>
          <w:szCs w:val="32"/>
        </w:rPr>
        <w:t>“优秀妇女儿童维权卫士”等优秀干警，在“不忘初心，牢记使命”主题演讲比赛中多次获奖，4名同志撰写的专业论文在省市获奖，3名同志荣获个人三等功。</w:t>
      </w:r>
    </w:p>
    <w:p>
      <w:pPr>
        <w:ind w:firstLine="803" w:firstLineChars="250"/>
        <w:rPr>
          <w:rFonts w:ascii="黑体" w:hAnsi="黑体" w:eastAsia="黑体" w:cs="宋体"/>
          <w:b/>
          <w:kern w:val="0"/>
          <w:sz w:val="32"/>
          <w:szCs w:val="32"/>
        </w:rPr>
      </w:pPr>
      <w:r>
        <w:rPr>
          <w:rFonts w:hint="eastAsia" w:ascii="黑体" w:hAnsi="黑体" w:eastAsia="黑体" w:cs="宋体"/>
          <w:b/>
          <w:kern w:val="0"/>
          <w:sz w:val="32"/>
          <w:szCs w:val="32"/>
        </w:rPr>
        <w:t>五、接受监督，促进司法公开公正</w:t>
      </w:r>
    </w:p>
    <w:p>
      <w:pPr>
        <w:ind w:firstLine="640" w:firstLineChars="200"/>
        <w:rPr>
          <w:rFonts w:hint="eastAsia" w:ascii="仿宋" w:hAnsi="仿宋" w:eastAsia="仿宋" w:cs="仿宋"/>
          <w:kern w:val="21"/>
          <w:sz w:val="32"/>
          <w:szCs w:val="32"/>
        </w:rPr>
      </w:pPr>
      <w:r>
        <w:rPr>
          <w:rFonts w:hint="eastAsia" w:ascii="仿宋" w:hAnsi="仿宋" w:eastAsia="仿宋" w:cs="仿宋"/>
          <w:kern w:val="21"/>
          <w:sz w:val="32"/>
          <w:szCs w:val="32"/>
        </w:rPr>
        <w:t>自觉把审判工作置于党的领导和人大监督之下，加强与人大代表、政协委员及社会各界的联系。向区人大常委会专题汇报审判权运行机制情况，做好区政协对法院信息化建设情况的视察工作，邀请人大代表、政协委员参加座谈会、参与强制执行行动、旁听大要案庭审5次。针对人大代表关注案件，采取不定期调度和跟踪掌控的方式了解案件进展，及时反馈情况</w:t>
      </w:r>
      <w:r>
        <w:rPr>
          <w:rFonts w:hint="eastAsia" w:ascii="仿宋" w:hAnsi="仿宋" w:eastAsia="仿宋" w:cs="仿宋"/>
          <w:kern w:val="21"/>
          <w:sz w:val="32"/>
          <w:szCs w:val="32"/>
          <w:lang w:eastAsia="zh-CN"/>
        </w:rPr>
        <w:t>，对人大代表提出的三项议案及时办结。</w:t>
      </w:r>
      <w:r>
        <w:rPr>
          <w:rFonts w:hint="eastAsia" w:ascii="仿宋" w:hAnsi="仿宋" w:eastAsia="仿宋" w:cs="仿宋"/>
          <w:kern w:val="21"/>
          <w:sz w:val="32"/>
          <w:szCs w:val="32"/>
        </w:rPr>
        <w:t>认真接受检察机关的诉讼监督，主动邀请区检察院检察长列席审委会讨论疑难复杂案件。</w:t>
      </w:r>
    </w:p>
    <w:p>
      <w:pPr>
        <w:ind w:firstLine="640" w:firstLineChars="200"/>
        <w:rPr>
          <w:rFonts w:eastAsia="仿宋_GB2312"/>
          <w:sz w:val="32"/>
          <w:szCs w:val="32"/>
        </w:rPr>
      </w:pPr>
      <w:r>
        <w:rPr>
          <w:rFonts w:hint="eastAsia" w:eastAsia="仿宋_GB2312"/>
          <w:sz w:val="32"/>
          <w:szCs w:val="32"/>
        </w:rPr>
        <w:t>成绩的取得，离不开区委的正确领导、区人大的有效监督，离不开区政府、区政协、各位代表委员及社会各界的大力支持。对此，我代表区法院致以崇高的敬意和衷心的感谢！</w:t>
      </w:r>
    </w:p>
    <w:p>
      <w:pPr>
        <w:widowControl/>
        <w:adjustRightInd w:val="0"/>
        <w:ind w:firstLine="640" w:firstLineChars="200"/>
        <w:rPr>
          <w:rFonts w:ascii="仿宋" w:hAnsi="仿宋" w:eastAsia="仿宋" w:cs="仿宋"/>
          <w:kern w:val="21"/>
          <w:sz w:val="32"/>
          <w:szCs w:val="32"/>
        </w:rPr>
      </w:pPr>
      <w:r>
        <w:rPr>
          <w:rFonts w:hint="eastAsia" w:eastAsia="仿宋_GB2312"/>
          <w:sz w:val="32"/>
          <w:szCs w:val="32"/>
        </w:rPr>
        <w:t>回顾一年来的工作，在总结成绩和经验的同时，我们清醒地认识到，工作中还存在着一些困难和问题：</w:t>
      </w:r>
      <w:r>
        <w:rPr>
          <w:rFonts w:hint="eastAsia" w:eastAsia="仿宋_GB2312"/>
          <w:b/>
          <w:bCs/>
          <w:sz w:val="32"/>
          <w:szCs w:val="32"/>
        </w:rPr>
        <w:t>一是</w:t>
      </w:r>
      <w:r>
        <w:rPr>
          <w:rFonts w:hint="eastAsia" w:eastAsia="仿宋_GB2312"/>
          <w:sz w:val="32"/>
          <w:szCs w:val="32"/>
        </w:rPr>
        <w:t>案件数量持续高位攀升，人才流失与法官断层问题日益加剧，“案多人少”矛盾依然突出；</w:t>
      </w:r>
      <w:r>
        <w:rPr>
          <w:rFonts w:hint="eastAsia" w:eastAsia="仿宋_GB2312"/>
          <w:b/>
          <w:bCs/>
          <w:sz w:val="32"/>
          <w:szCs w:val="32"/>
        </w:rPr>
        <w:t>二是</w:t>
      </w:r>
      <w:r>
        <w:rPr>
          <w:rFonts w:hint="eastAsia" w:eastAsia="仿宋_GB2312"/>
          <w:sz w:val="32"/>
          <w:szCs w:val="32"/>
        </w:rPr>
        <w:t>人民群众日益增长的司法需求与司法能力不足存在反差，司法作风还有待于进一步加强；</w:t>
      </w:r>
      <w:r>
        <w:rPr>
          <w:rFonts w:hint="eastAsia" w:eastAsia="仿宋_GB2312"/>
          <w:b/>
          <w:bCs/>
          <w:sz w:val="32"/>
          <w:szCs w:val="32"/>
        </w:rPr>
        <w:t>三是</w:t>
      </w:r>
      <w:r>
        <w:rPr>
          <w:rFonts w:hint="eastAsia" w:eastAsia="仿宋_GB2312"/>
          <w:sz w:val="32"/>
          <w:szCs w:val="32"/>
        </w:rPr>
        <w:t>多元化纠纷解决机制、社会联动惩戒机制有待健全。直面以上问题，我们将采取有效措施，认真加以解决。在新的一年里，区法院将决心</w:t>
      </w:r>
      <w:r>
        <w:rPr>
          <w:rFonts w:hint="eastAsia" w:ascii="仿宋" w:hAnsi="仿宋" w:eastAsia="仿宋" w:cs="仿宋"/>
          <w:kern w:val="21"/>
          <w:sz w:val="32"/>
          <w:szCs w:val="32"/>
        </w:rPr>
        <w:t>做好以下工作：</w:t>
      </w:r>
      <w:r>
        <w:rPr>
          <w:rFonts w:hint="eastAsia" w:ascii="仿宋" w:hAnsi="仿宋" w:eastAsia="仿宋" w:cs="仿宋"/>
          <w:b/>
          <w:bCs/>
          <w:kern w:val="21"/>
          <w:sz w:val="32"/>
          <w:szCs w:val="32"/>
        </w:rPr>
        <w:t>一是</w:t>
      </w:r>
      <w:r>
        <w:rPr>
          <w:rFonts w:hint="eastAsia" w:ascii="仿宋" w:hAnsi="仿宋" w:eastAsia="仿宋" w:cs="仿宋"/>
          <w:kern w:val="21"/>
          <w:sz w:val="32"/>
          <w:szCs w:val="32"/>
        </w:rPr>
        <w:t>进一步增强服务大局意识，正确处理好维护发展大局和依法办案关系，紧紧围绕建设幸福南关新需求，依法审理各类案件；</w:t>
      </w:r>
      <w:r>
        <w:rPr>
          <w:rFonts w:hint="eastAsia" w:ascii="仿宋" w:hAnsi="仿宋" w:eastAsia="仿宋" w:cs="仿宋"/>
          <w:b/>
          <w:bCs/>
          <w:kern w:val="21"/>
          <w:sz w:val="32"/>
          <w:szCs w:val="32"/>
        </w:rPr>
        <w:t>二是</w:t>
      </w:r>
      <w:r>
        <w:rPr>
          <w:rFonts w:hint="eastAsia" w:ascii="仿宋" w:hAnsi="仿宋" w:eastAsia="仿宋" w:cs="仿宋"/>
          <w:kern w:val="21"/>
          <w:sz w:val="32"/>
          <w:szCs w:val="32"/>
        </w:rPr>
        <w:t>进一步推进司法体制改革，稳步推进内设机构改革，完善优化审判团队，以改革激发崭新活力；</w:t>
      </w:r>
      <w:r>
        <w:rPr>
          <w:rFonts w:hint="eastAsia" w:ascii="仿宋" w:hAnsi="仿宋" w:eastAsia="仿宋" w:cs="仿宋"/>
          <w:b/>
          <w:bCs/>
          <w:kern w:val="21"/>
          <w:sz w:val="32"/>
          <w:szCs w:val="32"/>
        </w:rPr>
        <w:t>三是</w:t>
      </w:r>
      <w:r>
        <w:rPr>
          <w:rFonts w:hint="eastAsia" w:ascii="仿宋" w:hAnsi="仿宋" w:eastAsia="仿宋" w:cs="仿宋"/>
          <w:kern w:val="21"/>
          <w:sz w:val="32"/>
          <w:szCs w:val="32"/>
        </w:rPr>
        <w:t>进一步践行司法为民宗旨，维护民营经济市场主体合法权益，提升企业的获得感与满意度；</w:t>
      </w:r>
      <w:r>
        <w:rPr>
          <w:rFonts w:hint="eastAsia" w:ascii="仿宋" w:hAnsi="仿宋" w:eastAsia="仿宋" w:cs="仿宋"/>
          <w:b/>
          <w:bCs/>
          <w:kern w:val="21"/>
          <w:sz w:val="32"/>
          <w:szCs w:val="32"/>
        </w:rPr>
        <w:t>四是</w:t>
      </w:r>
      <w:r>
        <w:rPr>
          <w:rFonts w:hint="eastAsia" w:ascii="仿宋" w:hAnsi="仿宋" w:eastAsia="仿宋" w:cs="仿宋"/>
          <w:kern w:val="21"/>
          <w:sz w:val="32"/>
          <w:szCs w:val="32"/>
        </w:rPr>
        <w:t>进一步强化党的领导，自觉接受监督，坚持重大问题、重大事项、重要工作主动向党委请示汇报制度，适时向人大、政协汇报工作，定期走访并主动征求人大代表、政协委员的意见建议。</w:t>
      </w:r>
    </w:p>
    <w:p>
      <w:pPr>
        <w:widowControl/>
        <w:adjustRightInd w:val="0"/>
        <w:ind w:firstLine="640" w:firstLineChars="200"/>
        <w:rPr>
          <w:rFonts w:eastAsia="仿宋_GB2312"/>
          <w:sz w:val="32"/>
          <w:szCs w:val="32"/>
        </w:rPr>
      </w:pPr>
      <w:r>
        <w:rPr>
          <w:rFonts w:hint="eastAsia" w:eastAsia="仿宋_GB2312"/>
          <w:sz w:val="32"/>
          <w:szCs w:val="32"/>
        </w:rPr>
        <w:t>各位代表，新起点新征程，我们将在区委的正确领导下，自觉接受人大监督，主动争取区政府、区政协和社会各界支持，忠实履行宪法、法律赋予的职责，以更加奋发有为的精神状态、对标争先的工作标准、求真务实的工作作风，解放思想、凝神聚力、进取攻坚，努力为建设东北亚区域性综合城市核心区提供更加有力的司法服务保障！</w:t>
      </w:r>
    </w:p>
    <w:p/>
    <w:sectPr>
      <w:footerReference r:id="rId3" w:type="default"/>
      <w:pgSz w:w="11906" w:h="16838"/>
      <w:pgMar w:top="1440" w:right="1800" w:bottom="1440" w:left="1800" w:header="907"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4B9779"/>
    <w:multiLevelType w:val="singleLevel"/>
    <w:tmpl w:val="F44B97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71ED"/>
    <w:rsid w:val="000D5B78"/>
    <w:rsid w:val="00395C11"/>
    <w:rsid w:val="00653873"/>
    <w:rsid w:val="007B6CE8"/>
    <w:rsid w:val="00B071ED"/>
    <w:rsid w:val="00FC520D"/>
    <w:rsid w:val="071E24F1"/>
    <w:rsid w:val="07F57D97"/>
    <w:rsid w:val="09714C22"/>
    <w:rsid w:val="0A175064"/>
    <w:rsid w:val="0CC879E0"/>
    <w:rsid w:val="0D4C2EF6"/>
    <w:rsid w:val="0DBC5DF3"/>
    <w:rsid w:val="0DE20508"/>
    <w:rsid w:val="11CE0435"/>
    <w:rsid w:val="131918A1"/>
    <w:rsid w:val="15076126"/>
    <w:rsid w:val="166F2EB5"/>
    <w:rsid w:val="1B2F654D"/>
    <w:rsid w:val="21ED4AB2"/>
    <w:rsid w:val="26111223"/>
    <w:rsid w:val="2EB4167D"/>
    <w:rsid w:val="30172D82"/>
    <w:rsid w:val="32B07F22"/>
    <w:rsid w:val="34AD0BFC"/>
    <w:rsid w:val="40CC398D"/>
    <w:rsid w:val="422E4480"/>
    <w:rsid w:val="42DA213C"/>
    <w:rsid w:val="43432E91"/>
    <w:rsid w:val="45030088"/>
    <w:rsid w:val="481257EC"/>
    <w:rsid w:val="504B7C21"/>
    <w:rsid w:val="52493139"/>
    <w:rsid w:val="535E33F3"/>
    <w:rsid w:val="53975B58"/>
    <w:rsid w:val="63EF02CB"/>
    <w:rsid w:val="677F75F6"/>
    <w:rsid w:val="691012DD"/>
    <w:rsid w:val="748B567B"/>
    <w:rsid w:val="75946488"/>
    <w:rsid w:val="7724721A"/>
    <w:rsid w:val="77885E4E"/>
    <w:rsid w:val="79567AD0"/>
    <w:rsid w:val="7B88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717</Words>
  <Characters>4093</Characters>
  <Lines>34</Lines>
  <Paragraphs>9</Paragraphs>
  <TotalTime>266</TotalTime>
  <ScaleCrop>false</ScaleCrop>
  <LinksUpToDate>false</LinksUpToDate>
  <CharactersWithSpaces>4801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Carol</dc:creator>
  <cp:lastModifiedBy>Administrator</cp:lastModifiedBy>
  <cp:lastPrinted>2018-12-19T07:56:00Z</cp:lastPrinted>
  <dcterms:modified xsi:type="dcterms:W3CDTF">2019-11-12T07:00:37Z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